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2726BD" w:rsidRDefault="00B32C61" w:rsidP="002726BD">
            <w:pPr>
              <w:rPr>
                <w:rFonts w:ascii="Arial" w:hAnsi="Arial"/>
                <w:b/>
                <w:bCs/>
                <w:sz w:val="26"/>
                <w:szCs w:val="26"/>
                <w:rtl/>
              </w:rPr>
            </w:pPr>
            <w:r w:rsidRPr="002726BD">
              <w:rPr>
                <w:rFonts w:ascii="Arial" w:hAnsi="Arial" w:hint="cs"/>
                <w:b/>
                <w:bCs/>
                <w:sz w:val="26"/>
                <w:szCs w:val="26"/>
                <w:rtl/>
              </w:rPr>
              <w:t>כבוד</w:t>
            </w:r>
            <w:r w:rsidR="006816EC" w:rsidRPr="002726BD">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2726BD">
                  <w:rPr>
                    <w:rFonts w:ascii="Arial" w:hAnsi="Arial"/>
                    <w:b/>
                    <w:bCs/>
                    <w:sz w:val="26"/>
                    <w:szCs w:val="26"/>
                    <w:rtl/>
                  </w:rPr>
                  <w:t>שופט</w:t>
                </w:r>
              </w:sdtContent>
            </w:sdt>
            <w:r w:rsidR="002726BD" w:rsidRPr="002726BD">
              <w:rPr>
                <w:rFonts w:ascii="Arial" w:hAnsi="Arial" w:hint="cs"/>
                <w:b/>
                <w:bCs/>
                <w:sz w:val="26"/>
                <w:szCs w:val="26"/>
                <w:rtl/>
              </w:rPr>
              <w:t>ים</w:t>
            </w:r>
            <w:r w:rsidR="006816EC" w:rsidRPr="002726BD">
              <w:rPr>
                <w:rFonts w:ascii="Arial" w:hAnsi="Arial" w:hint="cs"/>
                <w:b/>
                <w:bCs/>
                <w:sz w:val="26"/>
                <w:szCs w:val="26"/>
                <w:rtl/>
              </w:rPr>
              <w:t xml:space="preserve"> </w:t>
            </w:r>
            <w:sdt>
              <w:sdtPr>
                <w:rPr>
                  <w:b/>
                  <w:bCs/>
                  <w:sz w:val="26"/>
                  <w:szCs w:val="26"/>
                  <w:rtl/>
                </w:rPr>
                <w:alias w:val="1573"/>
                <w:tag w:val="1573"/>
                <w:id w:val="407734867"/>
                <w:text w:multiLine="1"/>
              </w:sdtPr>
              <w:sdtEndPr/>
              <w:sdtContent>
                <w:r w:rsidR="002726BD" w:rsidRPr="002726BD">
                  <w:rPr>
                    <w:rFonts w:hint="cs"/>
                    <w:b/>
                    <w:bCs/>
                    <w:sz w:val="26"/>
                    <w:szCs w:val="26"/>
                    <w:rtl/>
                  </w:rPr>
                  <w:t xml:space="preserve">יונה </w:t>
                </w:r>
                <w:r w:rsidRPr="002726BD">
                  <w:rPr>
                    <w:rFonts w:ascii="Arial" w:hAnsi="Arial"/>
                    <w:b/>
                    <w:bCs/>
                    <w:sz w:val="26"/>
                    <w:szCs w:val="26"/>
                    <w:rtl/>
                  </w:rPr>
                  <w:t>אטדגי</w:t>
                </w:r>
              </w:sdtContent>
            </w:sdt>
            <w:r w:rsidR="002726BD" w:rsidRPr="002726BD">
              <w:rPr>
                <w:rFonts w:ascii="Arial" w:hAnsi="Arial" w:hint="cs"/>
                <w:b/>
                <w:bCs/>
                <w:sz w:val="26"/>
                <w:szCs w:val="26"/>
                <w:rtl/>
              </w:rPr>
              <w:t>, אב"ד, עידית</w:t>
            </w:r>
            <w:r w:rsidR="006816EC" w:rsidRPr="002726BD">
              <w:rPr>
                <w:rFonts w:ascii="Arial" w:hAnsi="Arial" w:hint="cs"/>
                <w:b/>
                <w:bCs/>
                <w:sz w:val="26"/>
                <w:szCs w:val="26"/>
                <w:rtl/>
              </w:rPr>
              <w:t xml:space="preserve"> </w:t>
            </w:r>
            <w:sdt>
              <w:sdtPr>
                <w:rPr>
                  <w:b/>
                  <w:bCs/>
                  <w:sz w:val="26"/>
                  <w:szCs w:val="26"/>
                  <w:rtl/>
                </w:rPr>
                <w:alias w:val="1573"/>
                <w:tag w:val="1573"/>
                <w:id w:val="-306784064"/>
                <w:text w:multiLine="1"/>
              </w:sdtPr>
              <w:sdtEndPr/>
              <w:sdtContent>
                <w:r w:rsidRPr="002726BD">
                  <w:rPr>
                    <w:rFonts w:ascii="Arial" w:hAnsi="Arial"/>
                    <w:b/>
                    <w:bCs/>
                    <w:sz w:val="26"/>
                    <w:szCs w:val="26"/>
                    <w:rtl/>
                  </w:rPr>
                  <w:t>ברקוביץ</w:t>
                </w:r>
              </w:sdtContent>
            </w:sdt>
            <w:r w:rsidR="002726BD" w:rsidRPr="002726BD">
              <w:rPr>
                <w:rFonts w:hint="cs"/>
                <w:b/>
                <w:bCs/>
                <w:sz w:val="26"/>
                <w:szCs w:val="26"/>
                <w:rtl/>
              </w:rPr>
              <w:t>, טל לוי-מיכאלי</w:t>
            </w:r>
          </w:p>
          <w:p w:rsidR="006816EC" w:rsidRPr="00CD0055" w:rsidRDefault="006816EC" w:rsidP="002726BD">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3E43CA" w:rsidRDefault="002726BD">
                <w:pPr>
                  <w:rPr>
                    <w:rFonts w:ascii="Arial (W1)" w:hAnsi="Arial (W1)"/>
                    <w:b/>
                    <w:bCs/>
                    <w:noProof w:val="0"/>
                    <w:sz w:val="26"/>
                    <w:szCs w:val="26"/>
                  </w:rPr>
                </w:pPr>
                <w:r>
                  <w:rPr>
                    <w:rFonts w:hint="cs"/>
                    <w:b/>
                    <w:bCs/>
                    <w:noProof w:val="0"/>
                    <w:sz w:val="26"/>
                    <w:szCs w:val="26"/>
                    <w:rtl/>
                  </w:rPr>
                  <w:t>המערער:</w:t>
                </w:r>
              </w:p>
            </w:sdtContent>
          </w:sdt>
        </w:tc>
        <w:tc>
          <w:tcPr>
            <w:tcW w:w="5571" w:type="dxa"/>
          </w:tcPr>
          <w:p w:rsidR="006816EC" w:rsidRPr="00CD0055" w:rsidRDefault="006816EC">
            <w:pPr>
              <w:rPr>
                <w:rFonts w:ascii="Arial (W1)" w:hAnsi="Arial (W1)"/>
                <w:b/>
                <w:bCs/>
                <w:noProof w:val="0"/>
                <w:sz w:val="26"/>
                <w:szCs w:val="26"/>
                <w:rtl/>
              </w:rPr>
            </w:pPr>
          </w:p>
          <w:p w:rsidR="00295DD1" w:rsidRDefault="002A3668">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צבי יעקב</w:t>
                </w:r>
              </w:sdtContent>
            </w:sdt>
          </w:p>
          <w:p w:rsidR="006816EC" w:rsidRPr="002726BD" w:rsidRDefault="00295DD1">
            <w:pPr>
              <w:rPr>
                <w:rFonts w:ascii="Arial (W1)" w:hAnsi="Arial (W1)"/>
                <w:noProof w:val="0"/>
                <w:sz w:val="26"/>
                <w:szCs w:val="26"/>
              </w:rPr>
            </w:pPr>
            <w:r w:rsidRPr="002726BD">
              <w:rPr>
                <w:rFonts w:hint="cs"/>
                <w:sz w:val="26"/>
                <w:szCs w:val="26"/>
                <w:rtl/>
              </w:rPr>
              <w:t>ע"י ב"כ עו"ד</w:t>
            </w:r>
            <w:r w:rsidR="002726BD" w:rsidRPr="002726BD">
              <w:rPr>
                <w:rFonts w:ascii="Arial (W1)" w:hAnsi="Arial (W1)" w:hint="cs"/>
                <w:noProof w:val="0"/>
                <w:sz w:val="26"/>
                <w:szCs w:val="26"/>
                <w:rtl/>
              </w:rPr>
              <w:t xml:space="preserve"> יוגב חלפון </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2726BD" w:rsidP="002726BD">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2A3668">
            <w:pPr>
              <w:rPr>
                <w:rFonts w:ascii="Arial (W1)" w:hAnsi="Arial (W1)"/>
                <w:b/>
                <w:bCs/>
                <w:noProof w:val="0"/>
                <w:sz w:val="26"/>
                <w:szCs w:val="26"/>
              </w:rPr>
            </w:pPr>
            <w:sdt>
              <w:sdtPr>
                <w:rPr>
                  <w:rFonts w:hint="cs"/>
                  <w:sz w:val="26"/>
                  <w:szCs w:val="26"/>
                  <w:rtl/>
                </w:rPr>
                <w:alias w:val="1184"/>
                <w:tag w:val="1184"/>
                <w:id w:val="-910234160"/>
                <w:text w:multiLine="1"/>
              </w:sdtPr>
              <w:sdtEndPr/>
              <w:sdtContent>
                <w:r w:rsidR="002726BD">
                  <w:rPr>
                    <w:rFonts w:hint="cs"/>
                    <w:b/>
                    <w:bCs/>
                    <w:noProof w:val="0"/>
                    <w:sz w:val="26"/>
                    <w:szCs w:val="26"/>
                    <w:rtl/>
                  </w:rPr>
                  <w:t>המשיב:</w:t>
                </w:r>
              </w:sdtContent>
            </w:sdt>
          </w:p>
        </w:tc>
        <w:tc>
          <w:tcPr>
            <w:tcW w:w="5571" w:type="dxa"/>
          </w:tcPr>
          <w:p w:rsidR="006816EC" w:rsidRPr="00CD0055" w:rsidRDefault="006816EC">
            <w:pPr>
              <w:rPr>
                <w:rFonts w:ascii="Arial (W1)" w:hAnsi="Arial (W1)"/>
                <w:b/>
                <w:bCs/>
                <w:noProof w:val="0"/>
                <w:sz w:val="26"/>
                <w:szCs w:val="26"/>
                <w:rtl/>
              </w:rPr>
            </w:pPr>
          </w:p>
          <w:p w:rsidR="00295DD1" w:rsidRDefault="002A3668">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גדעון היכל</w:t>
                </w:r>
              </w:sdtContent>
            </w:sdt>
          </w:p>
          <w:p w:rsidR="006816EC" w:rsidRPr="002726BD" w:rsidRDefault="002726BD">
            <w:pPr>
              <w:rPr>
                <w:rFonts w:ascii="Arial (W1)" w:hAnsi="Arial (W1)"/>
                <w:noProof w:val="0"/>
                <w:sz w:val="26"/>
                <w:szCs w:val="26"/>
              </w:rPr>
            </w:pPr>
            <w:r w:rsidRPr="002726BD">
              <w:rPr>
                <w:rFonts w:hint="cs"/>
                <w:sz w:val="26"/>
                <w:szCs w:val="26"/>
                <w:rtl/>
              </w:rPr>
              <w:t>בעצמו ו</w:t>
            </w:r>
            <w:r w:rsidR="00295DD1" w:rsidRPr="002726BD">
              <w:rPr>
                <w:rFonts w:hint="cs"/>
                <w:sz w:val="26"/>
                <w:szCs w:val="26"/>
                <w:rtl/>
              </w:rPr>
              <w:t>ע"י ב"כ עו"ד</w:t>
            </w:r>
            <w:r w:rsidRPr="002726BD">
              <w:rPr>
                <w:rFonts w:ascii="Arial (W1)" w:hAnsi="Arial (W1)" w:hint="cs"/>
                <w:noProof w:val="0"/>
                <w:sz w:val="26"/>
                <w:szCs w:val="26"/>
                <w:rtl/>
              </w:rPr>
              <w:t xml:space="preserve"> יואב היכל</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726BD" w:rsidRDefault="002726BD" w:rsidP="002726BD">
      <w:pPr>
        <w:spacing w:line="360" w:lineRule="auto"/>
        <w:jc w:val="both"/>
        <w:rPr>
          <w:rFonts w:ascii="Arial" w:hAnsi="Arial"/>
          <w:noProof w:val="0"/>
          <w:rtl/>
        </w:rPr>
      </w:pPr>
    </w:p>
    <w:p w:rsidR="002726BD" w:rsidRDefault="002726BD" w:rsidP="002726BD">
      <w:pPr>
        <w:spacing w:line="360" w:lineRule="auto"/>
        <w:jc w:val="both"/>
        <w:rPr>
          <w:rFonts w:ascii="Arial" w:hAnsi="Arial"/>
          <w:noProof w:val="0"/>
          <w:rtl/>
        </w:rPr>
      </w:pPr>
      <w:r w:rsidRPr="002726BD">
        <w:rPr>
          <w:rFonts w:ascii="Arial" w:hAnsi="Arial" w:hint="cs"/>
          <w:b/>
          <w:bCs/>
          <w:noProof w:val="0"/>
          <w:u w:val="single"/>
          <w:rtl/>
        </w:rPr>
        <w:t xml:space="preserve">השופט י. </w:t>
      </w:r>
      <w:proofErr w:type="spellStart"/>
      <w:r w:rsidRPr="002726BD">
        <w:rPr>
          <w:rFonts w:ascii="Arial" w:hAnsi="Arial" w:hint="cs"/>
          <w:b/>
          <w:bCs/>
          <w:noProof w:val="0"/>
          <w:u w:val="single"/>
          <w:rtl/>
        </w:rPr>
        <w:t>אטדגי</w:t>
      </w:r>
      <w:proofErr w:type="spellEnd"/>
      <w:r>
        <w:rPr>
          <w:rFonts w:ascii="Arial" w:hAnsi="Arial" w:hint="cs"/>
          <w:noProof w:val="0"/>
          <w:rtl/>
        </w:rPr>
        <w:t xml:space="preserve">: </w:t>
      </w: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ערעור זה הוא הליך נוסף בסדרה ארוכה של הליכים משפטים שנקט המערער, תחילה מול הזוכה בתיק הוצאה לפועל שנפתח לשם מימוש פסק דין כספי שניתן נגדו (להלן – </w:t>
      </w:r>
      <w:r>
        <w:rPr>
          <w:rFonts w:ascii="David" w:hAnsi="David"/>
          <w:b/>
          <w:bCs/>
          <w:noProof w:val="0"/>
          <w:rtl/>
        </w:rPr>
        <w:t>"הזוכה</w:t>
      </w:r>
      <w:r>
        <w:rPr>
          <w:rFonts w:ascii="David" w:hAnsi="David"/>
          <w:noProof w:val="0"/>
          <w:rtl/>
        </w:rPr>
        <w:t>", ו"</w:t>
      </w:r>
      <w:r>
        <w:rPr>
          <w:rFonts w:ascii="David" w:hAnsi="David"/>
          <w:b/>
          <w:bCs/>
          <w:noProof w:val="0"/>
          <w:rtl/>
        </w:rPr>
        <w:t>תיק ההוצל"פ</w:t>
      </w:r>
      <w:r>
        <w:rPr>
          <w:rFonts w:ascii="David" w:hAnsi="David"/>
          <w:noProof w:val="0"/>
          <w:rtl/>
        </w:rPr>
        <w:t>" בהתאמה), ולאחר מכן נגד המשיב, שמונה בתיק ההוצל"פ ככונס נכסים למכירת נכס מקרקעין של המערער (להלן-"</w:t>
      </w:r>
      <w:r>
        <w:rPr>
          <w:rFonts w:ascii="David" w:hAnsi="David"/>
          <w:b/>
          <w:bCs/>
          <w:noProof w:val="0"/>
          <w:rtl/>
        </w:rPr>
        <w:t>הנכס</w:t>
      </w:r>
      <w:r>
        <w:rPr>
          <w:rFonts w:ascii="David" w:hAnsi="David"/>
          <w:noProof w:val="0"/>
          <w:rtl/>
        </w:rPr>
        <w:t xml:space="preserve">"). </w:t>
      </w:r>
    </w:p>
    <w:p w:rsidR="00D44FBE" w:rsidRDefault="00D44FBE" w:rsidP="00D44FBE">
      <w:pPr>
        <w:pStyle w:val="ad"/>
        <w:spacing w:line="360" w:lineRule="auto"/>
        <w:ind w:left="369"/>
        <w:jc w:val="both"/>
        <w:rPr>
          <w:rFonts w:ascii="David" w:hAnsi="David"/>
          <w:noProof w:val="0"/>
        </w:rPr>
      </w:pPr>
      <w:r>
        <w:rPr>
          <w:rFonts w:ascii="David" w:hAnsi="David"/>
          <w:noProof w:val="0"/>
          <w:rtl/>
        </w:rPr>
        <w:t>הערעור הוא על פסק דינו של בית משפט השלום בתל אביב-יפו (כב' השופט אבי כהן) שדחה את התביעה האחרונה (עד כה) שהוגשה נגד המשיב (ת"א 52877-01-21) על הסף, מחמת התיישנות, וחייב את המערער בתשלום הוצאות בסך 7,000 ₪ (להלן – "</w:t>
      </w:r>
      <w:r>
        <w:rPr>
          <w:rFonts w:ascii="David" w:hAnsi="David"/>
          <w:b/>
          <w:bCs/>
          <w:noProof w:val="0"/>
          <w:rtl/>
        </w:rPr>
        <w:t>פסק הדין</w:t>
      </w:r>
      <w:r>
        <w:rPr>
          <w:rFonts w:ascii="David" w:hAnsi="David"/>
          <w:noProof w:val="0"/>
          <w:rtl/>
        </w:rPr>
        <w:t xml:space="preserve">"). </w:t>
      </w:r>
    </w:p>
    <w:p w:rsidR="00D44FBE" w:rsidRDefault="00D44FBE" w:rsidP="00D44FBE">
      <w:pPr>
        <w:pStyle w:val="ad"/>
        <w:spacing w:line="360" w:lineRule="auto"/>
        <w:ind w:left="369"/>
        <w:jc w:val="both"/>
        <w:rPr>
          <w:rFonts w:ascii="David" w:hAnsi="David"/>
          <w:noProof w:val="0"/>
          <w:rtl/>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ההליכים הנוגעים לענייננו הם אלה שהתנהלו נגד המשיב: </w:t>
      </w:r>
    </w:p>
    <w:p w:rsidR="00D44FBE" w:rsidRDefault="00D44FBE" w:rsidP="00D44FBE">
      <w:pPr>
        <w:pStyle w:val="ad"/>
        <w:numPr>
          <w:ilvl w:val="1"/>
          <w:numId w:val="2"/>
        </w:numPr>
        <w:spacing w:line="360" w:lineRule="auto"/>
        <w:ind w:left="793"/>
        <w:jc w:val="both"/>
        <w:rPr>
          <w:rFonts w:ascii="David" w:hAnsi="David"/>
          <w:noProof w:val="0"/>
        </w:rPr>
      </w:pPr>
      <w:r>
        <w:rPr>
          <w:rFonts w:ascii="David" w:hAnsi="David"/>
          <w:noProof w:val="0"/>
          <w:rtl/>
        </w:rPr>
        <w:t>ביום 17.5.2018 הגיש המערער נגד המשיב תביעה כספית על סך 10 מיליון ₪ (ת"א</w:t>
      </w:r>
    </w:p>
    <w:p w:rsidR="00D44FBE" w:rsidRDefault="00D44FBE" w:rsidP="00D44FBE">
      <w:pPr>
        <w:pStyle w:val="ad"/>
        <w:spacing w:line="360" w:lineRule="auto"/>
        <w:ind w:left="793"/>
        <w:jc w:val="both"/>
        <w:rPr>
          <w:rFonts w:ascii="David" w:hAnsi="David"/>
          <w:noProof w:val="0"/>
        </w:rPr>
      </w:pPr>
      <w:r>
        <w:rPr>
          <w:rFonts w:ascii="David" w:hAnsi="David"/>
          <w:noProof w:val="0"/>
          <w:rtl/>
        </w:rPr>
        <w:t>38235-05-18, להלן – "</w:t>
      </w:r>
      <w:r>
        <w:rPr>
          <w:rFonts w:ascii="David" w:hAnsi="David"/>
          <w:b/>
          <w:bCs/>
          <w:noProof w:val="0"/>
          <w:rtl/>
        </w:rPr>
        <w:t>התביעה משנת 2018</w:t>
      </w:r>
      <w:r>
        <w:rPr>
          <w:rFonts w:ascii="David" w:hAnsi="David"/>
          <w:noProof w:val="0"/>
          <w:rtl/>
        </w:rPr>
        <w:t xml:space="preserve">"). </w:t>
      </w:r>
    </w:p>
    <w:p w:rsidR="00D44FBE" w:rsidRDefault="00D44FBE" w:rsidP="00D44FBE">
      <w:pPr>
        <w:pStyle w:val="ad"/>
        <w:spacing w:line="360" w:lineRule="auto"/>
        <w:ind w:left="793"/>
        <w:jc w:val="both"/>
        <w:rPr>
          <w:rFonts w:ascii="David" w:hAnsi="David"/>
          <w:noProof w:val="0"/>
        </w:rPr>
      </w:pPr>
      <w:r>
        <w:rPr>
          <w:rFonts w:ascii="David" w:hAnsi="David"/>
          <w:noProof w:val="0"/>
          <w:rtl/>
        </w:rPr>
        <w:t xml:space="preserve">המערער ביקש פטור מתשלום אגרה והרשם דחה את בקשתו. </w:t>
      </w:r>
    </w:p>
    <w:p w:rsidR="00D44FBE" w:rsidRDefault="00D44FBE" w:rsidP="00D44FBE">
      <w:pPr>
        <w:pStyle w:val="ad"/>
        <w:spacing w:line="360" w:lineRule="auto"/>
        <w:ind w:left="793"/>
        <w:jc w:val="both"/>
        <w:rPr>
          <w:rFonts w:ascii="David" w:hAnsi="David"/>
          <w:noProof w:val="0"/>
          <w:rtl/>
        </w:rPr>
      </w:pPr>
      <w:r>
        <w:rPr>
          <w:rFonts w:ascii="David" w:hAnsi="David"/>
          <w:noProof w:val="0"/>
          <w:rtl/>
        </w:rPr>
        <w:t>ערעור שהוגש על החלטת הרשם נדחה ברובו, תוך שניתן למערער פטור מתשלום אגרה עד לסך של 100,000 ₪ (</w:t>
      </w:r>
      <w:proofErr w:type="spellStart"/>
      <w:r>
        <w:rPr>
          <w:rFonts w:ascii="David" w:hAnsi="David"/>
          <w:noProof w:val="0"/>
          <w:rtl/>
        </w:rPr>
        <w:t>ע"ר</w:t>
      </w:r>
      <w:proofErr w:type="spellEnd"/>
      <w:r>
        <w:rPr>
          <w:rFonts w:ascii="David" w:hAnsi="David"/>
          <w:noProof w:val="0"/>
          <w:rtl/>
        </w:rPr>
        <w:t xml:space="preserve"> 41292-12-19). </w:t>
      </w:r>
    </w:p>
    <w:p w:rsidR="00D44FBE" w:rsidRDefault="00D44FBE" w:rsidP="00D44FBE">
      <w:pPr>
        <w:pStyle w:val="ad"/>
        <w:spacing w:line="360" w:lineRule="auto"/>
        <w:ind w:left="793"/>
        <w:jc w:val="both"/>
        <w:rPr>
          <w:rFonts w:ascii="David" w:hAnsi="David"/>
          <w:noProof w:val="0"/>
          <w:rtl/>
        </w:rPr>
      </w:pPr>
      <w:r>
        <w:rPr>
          <w:rFonts w:ascii="David" w:hAnsi="David"/>
          <w:noProof w:val="0"/>
          <w:rtl/>
        </w:rPr>
        <w:t xml:space="preserve">לאחר שהמערער לא שילם כל אגרה, ניתן ביום 19.11.2019 פסק דין למחיקת התביעה. </w:t>
      </w:r>
    </w:p>
    <w:p w:rsidR="00D44FBE" w:rsidRDefault="00D44FBE" w:rsidP="00D44FBE">
      <w:pPr>
        <w:pStyle w:val="ad"/>
        <w:numPr>
          <w:ilvl w:val="1"/>
          <w:numId w:val="2"/>
        </w:numPr>
        <w:spacing w:line="360" w:lineRule="auto"/>
        <w:ind w:left="793"/>
        <w:jc w:val="both"/>
        <w:rPr>
          <w:rFonts w:ascii="David" w:hAnsi="David"/>
          <w:noProof w:val="0"/>
        </w:rPr>
      </w:pPr>
      <w:r>
        <w:rPr>
          <w:rFonts w:ascii="David" w:hAnsi="David"/>
          <w:noProof w:val="0"/>
          <w:rtl/>
        </w:rPr>
        <w:t xml:space="preserve">ביום 27.1.2021 הגיש המערער תביעה נוספת נגד המשיב, בסך 2,400,000 ₪, שתוקנה לאחר מכן (לאחר שבקשתו לפטור מאגרה נדחתה וניתן לו פטור עד לסך של 100,000 ₪ בלבד ) לסך של 500,000 ₪. </w:t>
      </w:r>
    </w:p>
    <w:p w:rsidR="00D44FBE" w:rsidRDefault="00D44FBE" w:rsidP="00D44FBE">
      <w:pPr>
        <w:pStyle w:val="ad"/>
        <w:spacing w:line="360" w:lineRule="auto"/>
        <w:ind w:left="793"/>
        <w:jc w:val="both"/>
        <w:rPr>
          <w:rFonts w:ascii="David" w:hAnsi="David"/>
          <w:noProof w:val="0"/>
        </w:rPr>
      </w:pPr>
      <w:r>
        <w:rPr>
          <w:rFonts w:ascii="David" w:hAnsi="David"/>
          <w:noProof w:val="0"/>
          <w:rtl/>
        </w:rPr>
        <w:t xml:space="preserve">המשיב הגיש בקשה לדחיית התביעה על הסף, בין היתר, מחמת התיישנות. </w:t>
      </w:r>
    </w:p>
    <w:p w:rsidR="00D44FBE" w:rsidRDefault="00D44FBE" w:rsidP="00D44FBE">
      <w:pPr>
        <w:pStyle w:val="ad"/>
        <w:spacing w:line="360" w:lineRule="auto"/>
        <w:ind w:left="793"/>
        <w:jc w:val="both"/>
        <w:rPr>
          <w:rFonts w:ascii="David" w:hAnsi="David"/>
          <w:noProof w:val="0"/>
          <w:rtl/>
        </w:rPr>
      </w:pPr>
      <w:r>
        <w:rPr>
          <w:rFonts w:ascii="David" w:hAnsi="David"/>
          <w:noProof w:val="0"/>
          <w:rtl/>
        </w:rPr>
        <w:lastRenderedPageBreak/>
        <w:t xml:space="preserve">בית המשפט קיבל את הבקשה והורה על דחיית התביעה מחמת התיישנות - פסק הדין נושא ערעור זה. </w:t>
      </w:r>
    </w:p>
    <w:p w:rsidR="00D44FBE" w:rsidRDefault="00D44FBE" w:rsidP="00D44FBE">
      <w:pPr>
        <w:pStyle w:val="ad"/>
        <w:spacing w:line="360" w:lineRule="auto"/>
        <w:ind w:left="369"/>
        <w:jc w:val="both"/>
        <w:rPr>
          <w:rFonts w:ascii="David" w:hAnsi="David"/>
          <w:noProof w:val="0"/>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בית המשפט קמא הצביע על סתירה שהתגלתה לדברי המערער ביחס למועד שבו הוא התוודע לראשונה לעילת התביעה (שיהוי רב בהפקדת הכספים שהתקבלו ממכירת הנכס בתיק ההוצל"פ ועוד). בכתב תביעתו נטען כי מועד זה היה 16.5.2011 ואילו בדיון שנערך בתביעה נטען כי המועד היה 17.10.2013. </w:t>
      </w:r>
    </w:p>
    <w:p w:rsidR="00D44FBE" w:rsidRDefault="00D44FBE" w:rsidP="00D44FBE">
      <w:pPr>
        <w:pStyle w:val="ad"/>
        <w:spacing w:line="360" w:lineRule="auto"/>
        <w:ind w:left="369"/>
        <w:jc w:val="both"/>
        <w:rPr>
          <w:rFonts w:ascii="David" w:hAnsi="David"/>
          <w:noProof w:val="0"/>
        </w:rPr>
      </w:pPr>
      <w:r>
        <w:rPr>
          <w:rFonts w:ascii="David" w:hAnsi="David"/>
          <w:noProof w:val="0"/>
          <w:rtl/>
        </w:rPr>
        <w:t xml:space="preserve">בית המשפט קבע כי הוא לא התיר למערער לשנות חזית, ולכן המועד המחייב הוא זה שנטען בכתב התביעה.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יצוין כבר כאן כי בהודעת הערעור נטען כי "יום הגילוי" היה 16.5.2011.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גם בדיון לפנינו (עמ' 1 לפרו') שב ואישר ב"כ המערער כי זהו "יום הגילוי". </w:t>
      </w:r>
    </w:p>
    <w:p w:rsidR="00D44FBE" w:rsidRDefault="00D44FBE" w:rsidP="00D44FBE">
      <w:pPr>
        <w:pStyle w:val="ad"/>
        <w:spacing w:line="360" w:lineRule="auto"/>
        <w:ind w:left="369"/>
        <w:jc w:val="both"/>
        <w:rPr>
          <w:rFonts w:ascii="David" w:hAnsi="David"/>
          <w:noProof w:val="0"/>
          <w:rtl/>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בית המשפט קבע, כי גם אם יונחו שתי הנחות שהן לטובת המערער: כי התביעה שלפנינו הוגשה ביום האחרון של תקופת ההתיישנות (המשיב טען כי היא הוגשה לאחריה) וכי אין למנות את משך הזמן שבו התנהלה התביעה משנת 2018 במניין תקופת ההתיישנות, הרי שהיה על המערער להגיש את תביעתו זו בתוך שנה מהמועד שבו נמחקה התביעה משנת 2018, ומאחר והיא הוגשה לאחר מכן, חלה עליה ההתיישנות. </w:t>
      </w:r>
    </w:p>
    <w:p w:rsidR="00D44FBE" w:rsidRDefault="00D44FBE" w:rsidP="00D44FBE">
      <w:pPr>
        <w:pStyle w:val="ad"/>
        <w:spacing w:line="360" w:lineRule="auto"/>
        <w:ind w:left="369"/>
        <w:jc w:val="both"/>
        <w:rPr>
          <w:rFonts w:ascii="David" w:hAnsi="David"/>
          <w:noProof w:val="0"/>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בערעור לפנינו העלה המערער שלל טענות המתמקדות בגוף תביעתו, כשלטענתו הן מצדיקות גם את דחיית טענת ההתיישנות, מבלי להסביר את הקשר שבין הטענות בגוף התביעה לבין הנימוקים שהביאו לדחיית התביעה מחמת ההתיישנות. </w:t>
      </w:r>
    </w:p>
    <w:p w:rsidR="00D44FBE" w:rsidRDefault="00D44FBE" w:rsidP="00D44FBE">
      <w:pPr>
        <w:pStyle w:val="ad"/>
        <w:spacing w:line="360" w:lineRule="auto"/>
        <w:ind w:left="369"/>
        <w:jc w:val="both"/>
        <w:rPr>
          <w:rFonts w:ascii="David" w:hAnsi="David"/>
          <w:noProof w:val="0"/>
        </w:rPr>
      </w:pPr>
      <w:r>
        <w:rPr>
          <w:rFonts w:ascii="David" w:hAnsi="David"/>
          <w:noProof w:val="0"/>
          <w:rtl/>
        </w:rPr>
        <w:t xml:space="preserve">המשיב תמך במסקנת בית המשפט והוסיף כי על-פי הפסיקה, גם התקופה שבה התנהלה התביעה משנת 2018 הייתה צריכה להימנות בתקופת ההתיישנות מכיוון שהיא נמחקה בשל אי-תשלום אגרה. </w:t>
      </w:r>
    </w:p>
    <w:p w:rsidR="00D44FBE" w:rsidRDefault="00D44FBE" w:rsidP="00D44FBE">
      <w:pPr>
        <w:pStyle w:val="ad"/>
        <w:spacing w:line="360" w:lineRule="auto"/>
        <w:ind w:left="369"/>
        <w:jc w:val="both"/>
        <w:rPr>
          <w:rFonts w:ascii="David" w:hAnsi="David"/>
          <w:noProof w:val="0"/>
          <w:rtl/>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אני סבור כי צדק בית המשפט במסקנתו לדחיית התביעה מחמת התיישנות, ולפיכך דין הערעור להידחות. </w:t>
      </w:r>
    </w:p>
    <w:p w:rsidR="00D44FBE" w:rsidRDefault="00D44FBE" w:rsidP="00D44FBE">
      <w:pPr>
        <w:pStyle w:val="ad"/>
        <w:spacing w:line="360" w:lineRule="auto"/>
        <w:ind w:left="369"/>
        <w:jc w:val="both"/>
        <w:rPr>
          <w:rFonts w:ascii="David" w:hAnsi="David"/>
          <w:noProof w:val="0"/>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אתחיל בטענתו האחרונה של המשיב.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התביעה משנת  2018, שנפתחה כאמור ביום 17.5.2018, נדחתה ביום 19.11.2019 בשל אי תשלום אגרה. </w:t>
      </w:r>
    </w:p>
    <w:p w:rsidR="00D44FBE" w:rsidRDefault="00D44FBE" w:rsidP="00D44FBE">
      <w:pPr>
        <w:pStyle w:val="ad"/>
        <w:spacing w:line="360" w:lineRule="auto"/>
        <w:ind w:left="369"/>
        <w:jc w:val="both"/>
        <w:rPr>
          <w:rFonts w:ascii="David" w:hAnsi="David"/>
          <w:noProof w:val="0"/>
          <w:rtl/>
        </w:rPr>
      </w:pPr>
    </w:p>
    <w:p w:rsidR="00D44FBE" w:rsidRDefault="00D44FBE" w:rsidP="00D44FBE">
      <w:pPr>
        <w:pStyle w:val="ad"/>
        <w:spacing w:line="360" w:lineRule="auto"/>
        <w:ind w:left="369"/>
        <w:jc w:val="both"/>
        <w:rPr>
          <w:rFonts w:ascii="David" w:hAnsi="David"/>
          <w:noProof w:val="0"/>
        </w:rPr>
      </w:pPr>
    </w:p>
    <w:p w:rsidR="00D44FBE" w:rsidRDefault="00D44FBE" w:rsidP="00D44FBE">
      <w:pPr>
        <w:pStyle w:val="ad"/>
        <w:spacing w:line="360" w:lineRule="auto"/>
        <w:ind w:left="369"/>
        <w:jc w:val="both"/>
        <w:rPr>
          <w:rFonts w:ascii="David" w:hAnsi="David"/>
          <w:noProof w:val="0"/>
          <w:rtl/>
        </w:rPr>
      </w:pPr>
      <w:r>
        <w:rPr>
          <w:rFonts w:ascii="David" w:hAnsi="David"/>
          <w:noProof w:val="0"/>
          <w:rtl/>
        </w:rPr>
        <w:lastRenderedPageBreak/>
        <w:t>סעיף 15 ל</w:t>
      </w:r>
      <w:r>
        <w:rPr>
          <w:rFonts w:ascii="David" w:hAnsi="David"/>
          <w:b/>
          <w:bCs/>
          <w:noProof w:val="0"/>
          <w:rtl/>
        </w:rPr>
        <w:t>חוק ההתיישנות, תשי"ח-1958</w:t>
      </w:r>
      <w:r>
        <w:rPr>
          <w:rFonts w:ascii="David" w:hAnsi="David"/>
          <w:noProof w:val="0"/>
          <w:rtl/>
        </w:rPr>
        <w:t xml:space="preserve"> (להלן – "</w:t>
      </w:r>
      <w:r>
        <w:rPr>
          <w:rFonts w:ascii="David" w:hAnsi="David"/>
          <w:b/>
          <w:bCs/>
          <w:noProof w:val="0"/>
          <w:rtl/>
        </w:rPr>
        <w:t>חוק ההתיישנות</w:t>
      </w:r>
      <w:r>
        <w:rPr>
          <w:rFonts w:ascii="David" w:hAnsi="David"/>
          <w:noProof w:val="0"/>
          <w:rtl/>
        </w:rPr>
        <w:t xml:space="preserve">") קובע: </w:t>
      </w:r>
    </w:p>
    <w:p w:rsidR="00D44FBE" w:rsidRDefault="00D44FBE" w:rsidP="00D44FBE">
      <w:pPr>
        <w:pStyle w:val="ad"/>
        <w:spacing w:line="360" w:lineRule="auto"/>
        <w:ind w:left="651" w:right="284"/>
        <w:jc w:val="both"/>
        <w:rPr>
          <w:rFonts w:ascii="David" w:hAnsi="David"/>
          <w:noProof w:val="0"/>
          <w:rtl/>
        </w:rPr>
      </w:pPr>
      <w:r>
        <w:rPr>
          <w:rFonts w:ascii="David" w:hAnsi="David"/>
          <w:noProof w:val="0"/>
          <w:rtl/>
        </w:rPr>
        <w:t>"</w:t>
      </w:r>
      <w:r>
        <w:rPr>
          <w:rFonts w:ascii="David" w:hAnsi="David"/>
          <w:b/>
          <w:bCs/>
          <w:noProof w:val="0"/>
          <w:rtl/>
        </w:rPr>
        <w:t xml:space="preserve">הוגשה תובענה לפני בית משפט, לרבות בית דין דתי, והתובענה נדחתה באופן שלא נבצר מן התובע להגיש תובענה חדשה בשל אותה עילה, לא יבוא </w:t>
      </w:r>
      <w:proofErr w:type="spellStart"/>
      <w:r>
        <w:rPr>
          <w:rFonts w:ascii="David" w:hAnsi="David"/>
          <w:b/>
          <w:bCs/>
          <w:noProof w:val="0"/>
          <w:rtl/>
        </w:rPr>
        <w:t>במנין</w:t>
      </w:r>
      <w:proofErr w:type="spellEnd"/>
      <w:r>
        <w:rPr>
          <w:rFonts w:ascii="David" w:hAnsi="David"/>
          <w:b/>
          <w:bCs/>
          <w:noProof w:val="0"/>
          <w:rtl/>
        </w:rPr>
        <w:t xml:space="preserve"> תקופת ההתיישנות הזמן שבין הגשת התובענה ובין דחייתה</w:t>
      </w:r>
      <w:r>
        <w:rPr>
          <w:rFonts w:ascii="David" w:hAnsi="David"/>
          <w:noProof w:val="0"/>
          <w:rtl/>
        </w:rPr>
        <w:t xml:space="preserve">". </w:t>
      </w:r>
    </w:p>
    <w:p w:rsidR="00D44FBE" w:rsidRDefault="00D44FBE" w:rsidP="00D44FBE">
      <w:pPr>
        <w:pStyle w:val="ad"/>
        <w:spacing w:line="360" w:lineRule="auto"/>
        <w:ind w:left="651" w:right="284"/>
        <w:jc w:val="both"/>
        <w:rPr>
          <w:rFonts w:ascii="David" w:hAnsi="David"/>
          <w:noProof w:val="0"/>
          <w:rtl/>
        </w:rPr>
      </w:pP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בהתאם להלכת בית המשפט העליון ב-ע"א 4262/03 </w:t>
      </w:r>
      <w:proofErr w:type="spellStart"/>
      <w:r>
        <w:rPr>
          <w:rFonts w:ascii="David" w:hAnsi="David"/>
          <w:b/>
          <w:bCs/>
          <w:noProof w:val="0"/>
          <w:rtl/>
        </w:rPr>
        <w:t>קטש</w:t>
      </w:r>
      <w:proofErr w:type="spellEnd"/>
      <w:r>
        <w:rPr>
          <w:rFonts w:ascii="David" w:hAnsi="David"/>
          <w:b/>
          <w:bCs/>
          <w:noProof w:val="0"/>
          <w:rtl/>
        </w:rPr>
        <w:t xml:space="preserve"> נ' משרד הבינוי והשיכון</w:t>
      </w:r>
      <w:r>
        <w:rPr>
          <w:rFonts w:ascii="David" w:hAnsi="David"/>
          <w:noProof w:val="0"/>
          <w:rtl/>
        </w:rPr>
        <w:t xml:space="preserve"> (22.1.2004), כאשר התביעה הראשונה נמחקה בשל אי תשלום אגרה, סעיף 15 לא יחול על התקופה שבין הגשת אותה התביעה לבין מחיקתה  (ראו גם: טל חבקין, </w:t>
      </w:r>
      <w:r>
        <w:rPr>
          <w:rFonts w:ascii="David" w:hAnsi="David"/>
          <w:b/>
          <w:bCs/>
          <w:noProof w:val="0"/>
          <w:rtl/>
        </w:rPr>
        <w:t>התיישנות</w:t>
      </w:r>
      <w:r>
        <w:rPr>
          <w:rFonts w:ascii="David" w:hAnsi="David"/>
          <w:noProof w:val="0"/>
          <w:rtl/>
        </w:rPr>
        <w:t xml:space="preserve">, מהדורה שנייה עמ' 349 והפסיקה המובאת </w:t>
      </w:r>
      <w:proofErr w:type="spellStart"/>
      <w:r>
        <w:rPr>
          <w:rFonts w:ascii="David" w:hAnsi="David"/>
          <w:noProof w:val="0"/>
          <w:rtl/>
        </w:rPr>
        <w:t>בה"ש</w:t>
      </w:r>
      <w:proofErr w:type="spellEnd"/>
      <w:r>
        <w:rPr>
          <w:rFonts w:ascii="David" w:hAnsi="David"/>
          <w:noProof w:val="0"/>
          <w:rtl/>
        </w:rPr>
        <w:t xml:space="preserve"> 64, וכן: ת"א (מחוזי-ת"א) 17784-02-20</w:t>
      </w:r>
      <w:r>
        <w:rPr>
          <w:rFonts w:ascii="David" w:hAnsi="David"/>
          <w:b/>
          <w:bCs/>
          <w:noProof w:val="0"/>
          <w:rtl/>
        </w:rPr>
        <w:t xml:space="preserve"> אבידר נ' </w:t>
      </w:r>
      <w:proofErr w:type="spellStart"/>
      <w:r>
        <w:rPr>
          <w:rFonts w:ascii="David" w:hAnsi="David"/>
          <w:b/>
          <w:bCs/>
          <w:noProof w:val="0"/>
          <w:rtl/>
        </w:rPr>
        <w:t>סורוקר</w:t>
      </w:r>
      <w:proofErr w:type="spellEnd"/>
      <w:r>
        <w:rPr>
          <w:rFonts w:ascii="David" w:hAnsi="David"/>
          <w:noProof w:val="0"/>
          <w:rtl/>
        </w:rPr>
        <w:t xml:space="preserve"> (10.3.2023), סעיף 16). </w:t>
      </w:r>
    </w:p>
    <w:p w:rsidR="00D44FBE" w:rsidRDefault="00D44FBE" w:rsidP="00D44FBE">
      <w:pPr>
        <w:pStyle w:val="ad"/>
        <w:spacing w:line="360" w:lineRule="auto"/>
        <w:ind w:left="369"/>
        <w:jc w:val="both"/>
        <w:rPr>
          <w:rFonts w:ascii="David" w:hAnsi="David"/>
          <w:noProof w:val="0"/>
          <w:rtl/>
        </w:rPr>
      </w:pPr>
      <w:r>
        <w:rPr>
          <w:rFonts w:ascii="David" w:hAnsi="David"/>
          <w:noProof w:val="0"/>
          <w:rtl/>
        </w:rPr>
        <w:t>משכך, ברור שממועד גילוי העילה, 16.5.2011 (או אף 17.10.2013, כגרסתו השנייה של המערער), ועד למועד הגשת התביעה הנוכחית, 27.1.2021, חלפה תקופת ההתיישנות (7 שנים לפי סעיף 5(1) ל</w:t>
      </w:r>
      <w:r>
        <w:rPr>
          <w:rFonts w:ascii="David" w:hAnsi="David"/>
          <w:b/>
          <w:bCs/>
          <w:noProof w:val="0"/>
          <w:rtl/>
        </w:rPr>
        <w:t>חוק ההתיישנות</w:t>
      </w:r>
      <w:r>
        <w:rPr>
          <w:rFonts w:ascii="David" w:hAnsi="David"/>
          <w:noProof w:val="0"/>
          <w:rtl/>
        </w:rPr>
        <w:t xml:space="preserve">).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די היה בכך כדי לדחות את התביעה מחמת התיישנות ודי בכך כדי לדחות ערעור זה. </w:t>
      </w:r>
    </w:p>
    <w:p w:rsidR="00D44FBE" w:rsidRDefault="00D44FBE" w:rsidP="00D44FBE">
      <w:pPr>
        <w:pStyle w:val="ad"/>
        <w:spacing w:line="360" w:lineRule="auto"/>
        <w:ind w:left="369"/>
        <w:jc w:val="both"/>
        <w:rPr>
          <w:rFonts w:ascii="David" w:hAnsi="David"/>
          <w:noProof w:val="0"/>
          <w:rtl/>
        </w:rPr>
      </w:pPr>
    </w:p>
    <w:p w:rsidR="00D44FBE" w:rsidRDefault="00D44FBE" w:rsidP="00D44FBE">
      <w:pPr>
        <w:pStyle w:val="ad"/>
        <w:numPr>
          <w:ilvl w:val="0"/>
          <w:numId w:val="2"/>
        </w:numPr>
        <w:spacing w:line="360" w:lineRule="auto"/>
        <w:ind w:left="369"/>
        <w:jc w:val="both"/>
        <w:rPr>
          <w:rFonts w:ascii="David" w:hAnsi="David"/>
          <w:noProof w:val="0"/>
          <w:rtl/>
        </w:rPr>
      </w:pPr>
      <w:r>
        <w:rPr>
          <w:rFonts w:ascii="David" w:hAnsi="David"/>
          <w:noProof w:val="0"/>
          <w:rtl/>
        </w:rPr>
        <w:t>למעלה מכך, כפי שציין בית המשפט קמא, אף אם סעיף 15 ל</w:t>
      </w:r>
      <w:r>
        <w:rPr>
          <w:rFonts w:ascii="David" w:hAnsi="David"/>
          <w:b/>
          <w:bCs/>
          <w:noProof w:val="0"/>
          <w:rtl/>
        </w:rPr>
        <w:t xml:space="preserve">חוק ההתיישנות </w:t>
      </w:r>
      <w:r>
        <w:rPr>
          <w:rFonts w:ascii="David" w:hAnsi="David"/>
          <w:noProof w:val="0"/>
          <w:rtl/>
        </w:rPr>
        <w:t>היה חל על תקופת ניהול התביעה משנת 2018, באופן שהיא לא הייתה נמנית בתקופת ההתיישנות (ואינני סבור כך), הרי שמאחר והיא הוגשה, כאמור (לפי ההנחה הנוספת המיטיבה עם המערער) ביום האחרון של תקופת ההתיישנות, הרי שבהתאם לסעיף 16 ל</w:t>
      </w:r>
      <w:r>
        <w:rPr>
          <w:rFonts w:ascii="David" w:hAnsi="David"/>
          <w:b/>
          <w:bCs/>
          <w:noProof w:val="0"/>
          <w:rtl/>
        </w:rPr>
        <w:t xml:space="preserve">חוק ההתיישנות </w:t>
      </w:r>
      <w:r>
        <w:rPr>
          <w:rFonts w:ascii="David" w:hAnsi="David"/>
          <w:noProof w:val="0"/>
          <w:rtl/>
        </w:rPr>
        <w:t>לפיו: "</w:t>
      </w:r>
      <w:r>
        <w:rPr>
          <w:rFonts w:ascii="David" w:hAnsi="David"/>
          <w:b/>
          <w:bCs/>
          <w:noProof w:val="0"/>
          <w:rtl/>
        </w:rPr>
        <w:t>נתעכב מנין תקופת ההתיישנות כאמור בסעיפים 10 ו-12 עד 15, לא תסתיים התקופה לפני שעברה לפחות שנה אחת מן היום שבו חדל העיכוב</w:t>
      </w:r>
      <w:r>
        <w:rPr>
          <w:rFonts w:ascii="David" w:hAnsi="David"/>
          <w:noProof w:val="0"/>
          <w:rtl/>
        </w:rPr>
        <w:t xml:space="preserve">", היה על המערער להגיש את התביעה הנוכחית בתוך שנה ממועד מחיקת התביעה משנת 2018 (19.11.2019), והיא הוגשה למעלה מ-14 חודשים ממועד המחיקה (ביום 27.1.2021). </w:t>
      </w:r>
    </w:p>
    <w:p w:rsidR="00D44FBE" w:rsidRDefault="00D44FBE" w:rsidP="00D44FBE">
      <w:pPr>
        <w:pStyle w:val="ad"/>
        <w:spacing w:line="360" w:lineRule="auto"/>
        <w:ind w:left="369"/>
        <w:jc w:val="both"/>
        <w:rPr>
          <w:rFonts w:ascii="David" w:hAnsi="David"/>
          <w:noProof w:val="0"/>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כל הדרכים מובילות, אפוא, לדעתי, לדחיית התביעה על הסף. </w:t>
      </w:r>
    </w:p>
    <w:p w:rsidR="00D44FBE" w:rsidRDefault="00D44FBE" w:rsidP="00D44FBE">
      <w:pPr>
        <w:pStyle w:val="ad"/>
        <w:spacing w:line="360" w:lineRule="auto"/>
        <w:ind w:left="369"/>
        <w:jc w:val="both"/>
        <w:rPr>
          <w:rFonts w:ascii="David" w:hAnsi="David"/>
          <w:noProof w:val="0"/>
        </w:rPr>
      </w:pPr>
      <w:r>
        <w:rPr>
          <w:rFonts w:ascii="David" w:hAnsi="David"/>
          <w:noProof w:val="0"/>
          <w:rtl/>
        </w:rPr>
        <w:t xml:space="preserve"> </w:t>
      </w: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לאחר הדיון וטרם מתן פסק דין זה, עתר המערער להגשת מסמכים נוספים, שלדברי בא-כוחו, לא צורפו כנספחים לערעור "</w:t>
      </w:r>
      <w:r>
        <w:rPr>
          <w:rFonts w:ascii="David" w:hAnsi="David"/>
          <w:b/>
          <w:bCs/>
          <w:noProof w:val="0"/>
          <w:rtl/>
        </w:rPr>
        <w:t>עקב טעות משרדית</w:t>
      </w:r>
      <w:r>
        <w:rPr>
          <w:rFonts w:ascii="David" w:hAnsi="David"/>
          <w:noProof w:val="0"/>
          <w:rtl/>
        </w:rPr>
        <w:t xml:space="preserve">". </w:t>
      </w:r>
    </w:p>
    <w:p w:rsidR="00D44FBE" w:rsidRDefault="00D44FBE" w:rsidP="00D44FBE">
      <w:pPr>
        <w:pStyle w:val="ad"/>
        <w:spacing w:line="360" w:lineRule="auto"/>
        <w:ind w:left="369"/>
        <w:jc w:val="both"/>
        <w:rPr>
          <w:rFonts w:ascii="David" w:hAnsi="David"/>
          <w:noProof w:val="0"/>
        </w:rPr>
      </w:pPr>
      <w:r>
        <w:rPr>
          <w:rFonts w:ascii="David" w:hAnsi="David"/>
          <w:noProof w:val="0"/>
          <w:rtl/>
        </w:rPr>
        <w:t>המדובר ב</w:t>
      </w:r>
      <w:r w:rsidR="00E7078D">
        <w:rPr>
          <w:rFonts w:ascii="David" w:hAnsi="David" w:hint="cs"/>
          <w:noProof w:val="0"/>
          <w:rtl/>
        </w:rPr>
        <w:t xml:space="preserve">הודעת </w:t>
      </w:r>
      <w:r>
        <w:rPr>
          <w:rFonts w:ascii="David" w:hAnsi="David"/>
          <w:noProof w:val="0"/>
          <w:rtl/>
        </w:rPr>
        <w:t xml:space="preserve">ערעור שהגיש המערער על החלטת בית המשפט, שניתנה במסגרת התביעה משנת 2018, שדחתה את הערעור שהמערער הגיש על החלטת הרשם לדחות את בקשתו לפטור מאגרה, והגבילה את הפטור על סך 100,000 ₪ (ע"א 1645/19); פסק הדין של כב' רשם בית המשפט העליון גולדשטיין (מיום 17.4.2019) שדחה את הערעור משום שהמערער הגיש ערעור </w:t>
      </w:r>
      <w:r>
        <w:rPr>
          <w:rFonts w:ascii="David" w:hAnsi="David"/>
          <w:noProof w:val="0"/>
          <w:rtl/>
        </w:rPr>
        <w:lastRenderedPageBreak/>
        <w:t xml:space="preserve">בזכות שלא כדין; ופסק דין של בית המשפט העליון (כב' השופט מינץ) שדחה את הערעור על החלטת הרשם גולדשטיין (ע"א 29742/08 , מיום 6.10.2019).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ביקשתי את תשובת המשיב לבקשה. </w:t>
      </w:r>
    </w:p>
    <w:p w:rsidR="00D44FBE" w:rsidRDefault="00D44FBE" w:rsidP="00D44FBE">
      <w:pPr>
        <w:pStyle w:val="ad"/>
        <w:spacing w:line="360" w:lineRule="auto"/>
        <w:ind w:left="369"/>
        <w:jc w:val="both"/>
        <w:rPr>
          <w:rFonts w:ascii="David" w:hAnsi="David"/>
          <w:noProof w:val="0"/>
          <w:rtl/>
        </w:rPr>
      </w:pPr>
      <w:r>
        <w:rPr>
          <w:rFonts w:ascii="David" w:hAnsi="David"/>
          <w:noProof w:val="0"/>
          <w:rtl/>
        </w:rPr>
        <w:t>המשיב התנגד לבקשה, משום שהמערער לא נימק כראוי מדוע אלה לא צורפו לערעור, כמצוות תקנה 134(ב)(2) ל</w:t>
      </w:r>
      <w:r>
        <w:rPr>
          <w:rFonts w:ascii="David" w:hAnsi="David"/>
          <w:b/>
          <w:bCs/>
          <w:noProof w:val="0"/>
          <w:rtl/>
        </w:rPr>
        <w:t>תקנות סדר הדין האזרחי, התשע"ט-2018</w:t>
      </w:r>
      <w:r>
        <w:rPr>
          <w:rFonts w:ascii="David" w:hAnsi="David"/>
          <w:noProof w:val="0"/>
          <w:rtl/>
        </w:rPr>
        <w:t>, להלן – "</w:t>
      </w:r>
      <w:proofErr w:type="spellStart"/>
      <w:r>
        <w:rPr>
          <w:rFonts w:ascii="David" w:hAnsi="David"/>
          <w:b/>
          <w:bCs/>
          <w:noProof w:val="0"/>
          <w:rtl/>
        </w:rPr>
        <w:t>תסד"א</w:t>
      </w:r>
      <w:proofErr w:type="spellEnd"/>
      <w:r>
        <w:rPr>
          <w:rFonts w:ascii="David" w:hAnsi="David"/>
          <w:noProof w:val="0"/>
          <w:rtl/>
        </w:rPr>
        <w:t>"), מלבד הנימוק של "</w:t>
      </w:r>
      <w:r>
        <w:rPr>
          <w:rFonts w:ascii="David" w:hAnsi="David"/>
          <w:b/>
          <w:bCs/>
          <w:noProof w:val="0"/>
          <w:rtl/>
        </w:rPr>
        <w:t>טעות משרדית</w:t>
      </w:r>
      <w:r>
        <w:rPr>
          <w:rFonts w:ascii="David" w:hAnsi="David"/>
          <w:noProof w:val="0"/>
          <w:rtl/>
        </w:rPr>
        <w:t xml:space="preserve">" של ב"כ המערער, שלא נתמך בתצהיר מטעמו.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אני סבור שהדין עם המשיב, מהנימוקים שמנה.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אולם, גם אם הייתי סבור שיש להתיר את הגשתם של המסמכים שהתבקשו, לא היה בכך כדי להועיל למערער, שכן, פסק דינו של כב' השופט מינץ ניתן, כאמור, ביום 6.10.2019, ופסק הדין שמחק את התביעה משנת 2018 (בשל אי-תשלום אגרה כאמור) ניתן, כאמור, לאחר מכן, ביום 19.11.2019, כך שהנימוקים שמניתי לעיל לדחיית הערעור היו עומדים בתוקפם, גם לאור המסמכים הנוספים שהמערער ביקש להגיש. </w:t>
      </w:r>
    </w:p>
    <w:p w:rsidR="00D44FBE" w:rsidRDefault="00D44FBE" w:rsidP="00D44FBE">
      <w:pPr>
        <w:spacing w:line="360" w:lineRule="auto"/>
        <w:jc w:val="both"/>
        <w:rPr>
          <w:rFonts w:ascii="David" w:hAnsi="David"/>
          <w:noProof w:val="0"/>
          <w:rtl/>
        </w:rPr>
      </w:pPr>
    </w:p>
    <w:p w:rsidR="00D44FBE" w:rsidRDefault="00D44FBE" w:rsidP="00D44FBE">
      <w:pPr>
        <w:pStyle w:val="ad"/>
        <w:numPr>
          <w:ilvl w:val="0"/>
          <w:numId w:val="2"/>
        </w:numPr>
        <w:spacing w:line="360" w:lineRule="auto"/>
        <w:ind w:left="369"/>
        <w:jc w:val="both"/>
        <w:rPr>
          <w:rFonts w:ascii="David" w:hAnsi="David"/>
          <w:noProof w:val="0"/>
        </w:rPr>
      </w:pPr>
      <w:r>
        <w:rPr>
          <w:rFonts w:ascii="David" w:hAnsi="David"/>
          <w:noProof w:val="0"/>
          <w:rtl/>
        </w:rPr>
        <w:t xml:space="preserve">בפסיקת ההוצאות יתחשב, בית המשפט, בין היתר, גם בדרך שבה ניהלו בעלי הדין את הדיון (תקנה 153(ג) </w:t>
      </w:r>
      <w:proofErr w:type="spellStart"/>
      <w:r>
        <w:rPr>
          <w:rFonts w:ascii="David" w:hAnsi="David"/>
          <w:noProof w:val="0"/>
          <w:rtl/>
        </w:rPr>
        <w:t>ל</w:t>
      </w:r>
      <w:r>
        <w:rPr>
          <w:rFonts w:ascii="David" w:hAnsi="David"/>
          <w:b/>
          <w:bCs/>
          <w:noProof w:val="0"/>
          <w:rtl/>
        </w:rPr>
        <w:t>תסד"א</w:t>
      </w:r>
      <w:proofErr w:type="spellEnd"/>
      <w:r>
        <w:rPr>
          <w:rFonts w:ascii="David" w:hAnsi="David"/>
          <w:noProof w:val="0"/>
          <w:rtl/>
        </w:rPr>
        <w:t xml:space="preserve">). </w:t>
      </w:r>
    </w:p>
    <w:p w:rsidR="00D44FBE" w:rsidRDefault="00D44FBE" w:rsidP="00D44FBE">
      <w:pPr>
        <w:pStyle w:val="ad"/>
        <w:spacing w:line="360" w:lineRule="auto"/>
        <w:ind w:left="369"/>
        <w:jc w:val="both"/>
        <w:rPr>
          <w:rFonts w:ascii="David" w:hAnsi="David"/>
          <w:noProof w:val="0"/>
        </w:rPr>
      </w:pPr>
      <w:r>
        <w:rPr>
          <w:rFonts w:ascii="David" w:hAnsi="David"/>
          <w:noProof w:val="0"/>
          <w:rtl/>
        </w:rPr>
        <w:t xml:space="preserve">דרך ניהול הדיון על ידי המערער ובא-כוחו מחייבת פסיקת הוצאות על הרף הגבוה. </w:t>
      </w:r>
    </w:p>
    <w:p w:rsidR="00D44FBE" w:rsidRDefault="00D44FBE" w:rsidP="00D44FBE">
      <w:pPr>
        <w:pStyle w:val="ad"/>
        <w:spacing w:line="360" w:lineRule="auto"/>
        <w:ind w:left="369"/>
        <w:jc w:val="both"/>
        <w:rPr>
          <w:rFonts w:ascii="David" w:hAnsi="David"/>
          <w:noProof w:val="0"/>
        </w:rPr>
      </w:pPr>
      <w:r>
        <w:rPr>
          <w:rFonts w:ascii="David" w:hAnsi="David"/>
          <w:noProof w:val="0"/>
          <w:rtl/>
        </w:rPr>
        <w:t xml:space="preserve">ב"כ המערער נמנע מלאשר עובדות, שלא ניתן היה לחלוק עליהן, כמו יום הגשת התביעה משנת 2018 (עמ' 1 לפרו') או העובדה שאותה תביעה נמחקה בשל אי תשלום אגרה (עמ' 2-3), וכן המשיך לטעון בקול רם גם כאשר בית המשפט הורה לו לחדול מכך (עמ' 6-5).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גם המערער הוסיף וקרא קריאות משלו שאני נמנע מלתאר אותן בפסק הדין (עמ' 6 לפרו'). </w:t>
      </w:r>
    </w:p>
    <w:p w:rsidR="00D44FBE" w:rsidRDefault="00D44FBE" w:rsidP="00D44FBE">
      <w:pPr>
        <w:pStyle w:val="ad"/>
        <w:spacing w:line="360" w:lineRule="auto"/>
        <w:ind w:left="369"/>
        <w:jc w:val="both"/>
        <w:rPr>
          <w:rFonts w:ascii="David" w:hAnsi="David"/>
          <w:noProof w:val="0"/>
          <w:rtl/>
        </w:rPr>
      </w:pPr>
      <w:r>
        <w:rPr>
          <w:rFonts w:ascii="David" w:hAnsi="David"/>
          <w:noProof w:val="0"/>
          <w:rtl/>
        </w:rPr>
        <w:t xml:space="preserve">לפיכך אציע לחייב את המערער בתשלום הוצאות בסך 30,000 ₪. </w:t>
      </w:r>
    </w:p>
    <w:p w:rsidR="002726BD" w:rsidRDefault="002726BD" w:rsidP="002726BD">
      <w:pPr>
        <w:pStyle w:val="ad"/>
        <w:spacing w:line="360" w:lineRule="auto"/>
        <w:ind w:left="369"/>
        <w:jc w:val="both"/>
        <w:rPr>
          <w:rFonts w:ascii="David" w:hAnsi="David"/>
          <w:noProof w:val="0"/>
          <w:rtl/>
        </w:rPr>
      </w:pPr>
    </w:p>
    <w:p w:rsidR="002726BD" w:rsidRDefault="002726BD" w:rsidP="002726BD">
      <w:pPr>
        <w:pStyle w:val="ad"/>
        <w:spacing w:line="360" w:lineRule="auto"/>
        <w:ind w:left="369"/>
        <w:jc w:val="both"/>
        <w:rPr>
          <w:rFonts w:ascii="David" w:hAnsi="David"/>
          <w:noProof w:val="0"/>
          <w:rtl/>
        </w:rPr>
      </w:pPr>
      <w:r w:rsidRPr="004662BB">
        <w:rPr>
          <w:rFonts w:ascii="David" w:hAnsi="David" w:hint="cs"/>
          <w:noProof w:val="0"/>
          <w:rtl/>
        </w:rPr>
        <w:t xml:space="preserve"> </w:t>
      </w:r>
    </w:p>
    <w:tbl>
      <w:tblPr>
        <w:tblStyle w:val="a9"/>
        <w:tblpPr w:leftFromText="180" w:rightFromText="180" w:vertAnchor="text" w:horzAnchor="margin" w:tblpY="-4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2726BD" w:rsidRPr="00916A9C" w:rsidTr="002726BD">
        <w:tc>
          <w:tcPr>
            <w:tcW w:w="2919" w:type="dxa"/>
            <w:tcBorders>
              <w:top w:val="nil"/>
              <w:left w:val="nil"/>
              <w:bottom w:val="single" w:sz="4" w:space="0" w:color="auto"/>
              <w:right w:val="nil"/>
            </w:tcBorders>
            <w:vAlign w:val="center"/>
          </w:tcPr>
          <w:p w:rsidR="002726BD" w:rsidRPr="00916A9C" w:rsidRDefault="002726BD" w:rsidP="00112527">
            <w:pPr>
              <w:rPr>
                <w:rFonts w:ascii="Courier New" w:hAnsi="Courier New"/>
                <w:b/>
                <w:bCs/>
              </w:rPr>
            </w:pPr>
            <w:r>
              <w:drawing>
                <wp:anchor distT="0" distB="0" distL="114300" distR="114300" simplePos="0" relativeHeight="251659264" behindDoc="1" locked="0" layoutInCell="1" allowOverlap="1" wp14:anchorId="1BBB16E3" wp14:editId="7369CEAA">
                  <wp:simplePos x="0" y="0"/>
                  <wp:positionH relativeFrom="column">
                    <wp:posOffset>69850</wp:posOffset>
                  </wp:positionH>
                  <wp:positionV relativeFrom="paragraph">
                    <wp:posOffset>0</wp:posOffset>
                  </wp:positionV>
                  <wp:extent cx="1509395" cy="933450"/>
                  <wp:effectExtent l="0" t="0" r="0" b="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726BD" w:rsidRPr="00916A9C" w:rsidTr="002726BD">
        <w:tc>
          <w:tcPr>
            <w:tcW w:w="2919" w:type="dxa"/>
            <w:tcBorders>
              <w:top w:val="single" w:sz="4" w:space="0" w:color="auto"/>
              <w:left w:val="nil"/>
              <w:bottom w:val="nil"/>
              <w:right w:val="nil"/>
            </w:tcBorders>
            <w:vAlign w:val="bottom"/>
          </w:tcPr>
          <w:p w:rsidR="002726BD" w:rsidRPr="00916A9C" w:rsidRDefault="002726BD" w:rsidP="002726BD">
            <w:pPr>
              <w:jc w:val="center"/>
              <w:rPr>
                <w:rFonts w:ascii="Courier New" w:hAnsi="Courier New"/>
                <w:b/>
                <w:bCs/>
                <w:rtl/>
              </w:rPr>
            </w:pPr>
            <w:r>
              <w:rPr>
                <w:rFonts w:ascii="Courier New" w:hAnsi="Courier New"/>
                <w:b/>
                <w:bCs/>
                <w:rtl/>
              </w:rPr>
              <w:t>יונה אטדגי, שופט</w:t>
            </w:r>
          </w:p>
          <w:p w:rsidR="002726BD" w:rsidRPr="00916A9C" w:rsidRDefault="002726BD" w:rsidP="002726BD">
            <w:pPr>
              <w:jc w:val="center"/>
              <w:rPr>
                <w:rFonts w:ascii="Courier New" w:hAnsi="Courier New"/>
                <w:b/>
                <w:bCs/>
              </w:rPr>
            </w:pPr>
          </w:p>
        </w:tc>
      </w:tr>
    </w:tbl>
    <w:p w:rsidR="002726BD" w:rsidRDefault="002726BD" w:rsidP="006C47A9">
      <w:pPr>
        <w:rPr>
          <w:rtl/>
        </w:rPr>
      </w:pPr>
    </w:p>
    <w:p w:rsidR="002726BD" w:rsidRDefault="002726BD" w:rsidP="006C47A9">
      <w:pPr>
        <w:rPr>
          <w:rtl/>
        </w:rPr>
      </w:pPr>
    </w:p>
    <w:p w:rsidR="002726BD" w:rsidRDefault="002726BD" w:rsidP="006C47A9">
      <w:pPr>
        <w:rPr>
          <w:rtl/>
        </w:rPr>
      </w:pPr>
    </w:p>
    <w:p w:rsidR="002726BD" w:rsidRDefault="002726BD" w:rsidP="006C47A9">
      <w:pPr>
        <w:rPr>
          <w:rtl/>
        </w:rPr>
      </w:pPr>
    </w:p>
    <w:p w:rsidR="002726BD" w:rsidRPr="003A3B41" w:rsidRDefault="002726BD" w:rsidP="006C47A9"/>
    <w:p w:rsidR="002726BD" w:rsidRDefault="002726BD"/>
    <w:p w:rsidR="00694556" w:rsidRDefault="00694556">
      <w:pPr>
        <w:spacing w:line="360" w:lineRule="auto"/>
        <w:jc w:val="both"/>
        <w:rPr>
          <w:rFonts w:ascii="David" w:hAnsi="David"/>
          <w:noProof w:val="0"/>
          <w:rtl/>
        </w:rPr>
      </w:pPr>
    </w:p>
    <w:p w:rsidR="00D44FBE" w:rsidRDefault="00D44FBE">
      <w:pPr>
        <w:spacing w:line="360" w:lineRule="auto"/>
        <w:jc w:val="both"/>
        <w:rPr>
          <w:rFonts w:ascii="David" w:hAnsi="David"/>
          <w:noProof w:val="0"/>
          <w:rtl/>
        </w:rPr>
      </w:pPr>
    </w:p>
    <w:p w:rsidR="00D44FBE" w:rsidRDefault="00D44FBE">
      <w:pPr>
        <w:spacing w:line="360" w:lineRule="auto"/>
        <w:jc w:val="both"/>
        <w:rPr>
          <w:rFonts w:ascii="David" w:hAnsi="David"/>
          <w:noProof w:val="0"/>
          <w:rtl/>
        </w:rPr>
      </w:pPr>
    </w:p>
    <w:p w:rsidR="00D44FBE" w:rsidRDefault="00D44FBE">
      <w:pPr>
        <w:spacing w:line="360" w:lineRule="auto"/>
        <w:jc w:val="both"/>
        <w:rPr>
          <w:rFonts w:ascii="David" w:hAnsi="David"/>
          <w:noProof w:val="0"/>
          <w:rtl/>
        </w:rPr>
      </w:pPr>
    </w:p>
    <w:p w:rsidR="00D44FBE" w:rsidRDefault="00D44FBE">
      <w:pPr>
        <w:spacing w:line="360" w:lineRule="auto"/>
        <w:jc w:val="both"/>
        <w:rPr>
          <w:rFonts w:ascii="David" w:hAnsi="David"/>
          <w:noProof w:val="0"/>
          <w:rtl/>
        </w:rPr>
      </w:pPr>
    </w:p>
    <w:p w:rsidR="00D44FBE" w:rsidRDefault="00D44FBE">
      <w:pPr>
        <w:spacing w:line="360" w:lineRule="auto"/>
        <w:jc w:val="both"/>
        <w:rPr>
          <w:rFonts w:ascii="Arial" w:hAnsi="Arial"/>
          <w:noProof w:val="0"/>
          <w:rtl/>
        </w:rPr>
      </w:pPr>
    </w:p>
    <w:p w:rsidR="002726BD" w:rsidRPr="00112527" w:rsidRDefault="00112527">
      <w:pPr>
        <w:spacing w:line="360" w:lineRule="auto"/>
        <w:jc w:val="both"/>
        <w:rPr>
          <w:rFonts w:ascii="Arial" w:hAnsi="Arial"/>
          <w:b/>
          <w:bCs/>
          <w:noProof w:val="0"/>
          <w:u w:val="single"/>
          <w:rtl/>
        </w:rPr>
      </w:pPr>
      <w:r w:rsidRPr="00112527">
        <w:rPr>
          <w:rFonts w:ascii="Arial" w:hAnsi="Arial" w:hint="cs"/>
          <w:b/>
          <w:bCs/>
          <w:noProof w:val="0"/>
          <w:u w:val="single"/>
          <w:rtl/>
        </w:rPr>
        <w:lastRenderedPageBreak/>
        <w:t xml:space="preserve">השופטת ע. ברקוביץ: </w:t>
      </w:r>
    </w:p>
    <w:p w:rsidR="00112527" w:rsidRDefault="00112527">
      <w:pPr>
        <w:spacing w:line="360" w:lineRule="auto"/>
        <w:jc w:val="both"/>
        <w:rPr>
          <w:rFonts w:ascii="Arial" w:hAnsi="Arial"/>
          <w:noProof w:val="0"/>
          <w:rtl/>
        </w:rPr>
      </w:pPr>
      <w:r>
        <w:rPr>
          <w:rFonts w:ascii="Arial" w:hAnsi="Arial" w:hint="cs"/>
          <w:noProof w:val="0"/>
          <w:rtl/>
        </w:rPr>
        <w:t xml:space="preserve">אני מסכימה. </w:t>
      </w:r>
    </w:p>
    <w:tbl>
      <w:tblPr>
        <w:tblStyle w:val="a9"/>
        <w:tblpPr w:leftFromText="180" w:rightFromText="180" w:vertAnchor="text" w:horzAnchor="margin" w:tblpY="13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112527" w:rsidRPr="00916A9C" w:rsidTr="00112527">
        <w:tc>
          <w:tcPr>
            <w:tcW w:w="2919" w:type="dxa"/>
            <w:tcBorders>
              <w:top w:val="nil"/>
              <w:left w:val="nil"/>
              <w:bottom w:val="single" w:sz="4" w:space="0" w:color="auto"/>
              <w:right w:val="nil"/>
            </w:tcBorders>
            <w:vAlign w:val="center"/>
          </w:tcPr>
          <w:p w:rsidR="00112527" w:rsidRPr="00916A9C" w:rsidRDefault="00112527" w:rsidP="00112527">
            <w:pPr>
              <w:jc w:val="center"/>
              <w:rPr>
                <w:rFonts w:ascii="Courier New" w:hAnsi="Courier New"/>
                <w:b/>
                <w:bCs/>
              </w:rPr>
            </w:pPr>
            <w:r>
              <w:drawing>
                <wp:inline distT="0" distB="0" distL="0" distR="0" wp14:anchorId="4E33DBDC" wp14:editId="36865DFD">
                  <wp:extent cx="1000125" cy="542925"/>
                  <wp:effectExtent l="0" t="0" r="9525"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000125" cy="542925"/>
                          </a:xfrm>
                          <a:prstGeom prst="rect">
                            <a:avLst/>
                          </a:prstGeom>
                        </pic:spPr>
                      </pic:pic>
                    </a:graphicData>
                  </a:graphic>
                </wp:inline>
              </w:drawing>
            </w:r>
          </w:p>
        </w:tc>
      </w:tr>
      <w:tr w:rsidR="00112527" w:rsidRPr="00916A9C" w:rsidTr="00112527">
        <w:tc>
          <w:tcPr>
            <w:tcW w:w="2919" w:type="dxa"/>
            <w:tcBorders>
              <w:top w:val="single" w:sz="4" w:space="0" w:color="auto"/>
              <w:left w:val="nil"/>
              <w:bottom w:val="nil"/>
              <w:right w:val="nil"/>
            </w:tcBorders>
            <w:vAlign w:val="bottom"/>
          </w:tcPr>
          <w:p w:rsidR="00112527" w:rsidRPr="00916A9C" w:rsidRDefault="002A3668" w:rsidP="00112527">
            <w:pPr>
              <w:jc w:val="center"/>
              <w:rPr>
                <w:rFonts w:ascii="Courier New" w:hAnsi="Courier New"/>
                <w:b/>
                <w:bCs/>
                <w:rtl/>
              </w:rPr>
            </w:pPr>
            <w:sdt>
              <w:sdtPr>
                <w:rPr>
                  <w:rFonts w:ascii="Courier New" w:hAnsi="Courier New"/>
                  <w:b/>
                  <w:bCs/>
                  <w:rtl/>
                </w:rPr>
                <w:alias w:val="2141"/>
                <w:tag w:val="2141"/>
                <w:id w:val="2119712613"/>
                <w:placeholder>
                  <w:docPart w:val="73463BBA3B32439A9E6B3D5E1F9F9428"/>
                </w:placeholder>
                <w:text w:multiLine="1"/>
              </w:sdtPr>
              <w:sdtEndPr/>
              <w:sdtContent>
                <w:r w:rsidR="00112527" w:rsidRPr="003857A5">
                  <w:rPr>
                    <w:rFonts w:ascii="Courier New" w:hAnsi="Courier New"/>
                    <w:b/>
                    <w:bCs/>
                    <w:rtl/>
                  </w:rPr>
                  <w:t>עידית</w:t>
                </w:r>
              </w:sdtContent>
            </w:sdt>
            <w:r w:rsidR="00112527" w:rsidRPr="003857A5">
              <w:rPr>
                <w:rFonts w:ascii="Courier New" w:hAnsi="Courier New"/>
                <w:b/>
                <w:bCs/>
                <w:rtl/>
              </w:rPr>
              <w:t xml:space="preserve"> </w:t>
            </w:r>
            <w:sdt>
              <w:sdtPr>
                <w:rPr>
                  <w:rFonts w:ascii="Courier New" w:hAnsi="Courier New"/>
                  <w:b/>
                  <w:bCs/>
                  <w:rtl/>
                </w:rPr>
                <w:alias w:val="2142"/>
                <w:tag w:val="2142"/>
                <w:id w:val="-26639521"/>
                <w:placeholder>
                  <w:docPart w:val="C9BC7D08CBEA4537A48686ADD59C2CA1"/>
                </w:placeholder>
                <w:text w:multiLine="1"/>
              </w:sdtPr>
              <w:sdtEndPr/>
              <w:sdtContent>
                <w:r w:rsidR="00112527" w:rsidRPr="003857A5">
                  <w:rPr>
                    <w:rFonts w:ascii="Courier New" w:hAnsi="Courier New"/>
                    <w:b/>
                    <w:bCs/>
                    <w:rtl/>
                  </w:rPr>
                  <w:t>ברקוביץ</w:t>
                </w:r>
              </w:sdtContent>
            </w:sdt>
            <w:r w:rsidR="00112527">
              <w:rPr>
                <w:rFonts w:ascii="Courier New" w:hAnsi="Courier New"/>
                <w:b/>
                <w:bCs/>
                <w:rtl/>
              </w:rPr>
              <w:t>, שופט</w:t>
            </w:r>
            <w:r w:rsidR="00112527">
              <w:rPr>
                <w:rFonts w:ascii="Courier New" w:hAnsi="Courier New" w:hint="cs"/>
                <w:b/>
                <w:bCs/>
                <w:rtl/>
              </w:rPr>
              <w:t>ת</w:t>
            </w:r>
          </w:p>
          <w:p w:rsidR="00112527" w:rsidRPr="00916A9C" w:rsidRDefault="00112527" w:rsidP="00112527">
            <w:pPr>
              <w:jc w:val="center"/>
              <w:rPr>
                <w:rFonts w:ascii="Courier New" w:hAnsi="Courier New"/>
                <w:b/>
                <w:bCs/>
              </w:rPr>
            </w:pPr>
          </w:p>
        </w:tc>
      </w:tr>
    </w:tbl>
    <w:p w:rsidR="00112527" w:rsidRDefault="00112527">
      <w:pPr>
        <w:spacing w:line="360" w:lineRule="auto"/>
        <w:jc w:val="both"/>
        <w:rPr>
          <w:rFonts w:ascii="Arial" w:hAnsi="Arial"/>
          <w:noProof w:val="0"/>
          <w:rtl/>
        </w:rPr>
      </w:pPr>
    </w:p>
    <w:p w:rsidR="00112527" w:rsidRDefault="00112527" w:rsidP="006D0F56">
      <w:pPr>
        <w:rPr>
          <w:rtl/>
        </w:rPr>
      </w:pPr>
    </w:p>
    <w:p w:rsidR="00112527" w:rsidRDefault="00112527" w:rsidP="006D0F56">
      <w:pPr>
        <w:rPr>
          <w:rtl/>
        </w:rPr>
      </w:pPr>
    </w:p>
    <w:p w:rsidR="00112527" w:rsidRDefault="00112527" w:rsidP="006D0F56">
      <w:pPr>
        <w:rPr>
          <w:rtl/>
        </w:rPr>
      </w:pPr>
    </w:p>
    <w:p w:rsidR="00112527" w:rsidRDefault="00112527" w:rsidP="006D0F56">
      <w:pPr>
        <w:rPr>
          <w:rtl/>
        </w:rPr>
      </w:pPr>
    </w:p>
    <w:p w:rsidR="00112527" w:rsidRPr="003A3B41" w:rsidRDefault="00112527" w:rsidP="006D0F56"/>
    <w:p w:rsidR="00112527" w:rsidRDefault="00112527" w:rsidP="00112527">
      <w:pPr>
        <w:spacing w:line="360" w:lineRule="auto"/>
        <w:jc w:val="both"/>
        <w:rPr>
          <w:rFonts w:ascii="Arial" w:hAnsi="Arial"/>
          <w:noProof w:val="0"/>
          <w:rtl/>
        </w:rPr>
      </w:pPr>
    </w:p>
    <w:p w:rsidR="00112527" w:rsidRPr="00112527" w:rsidRDefault="00112527">
      <w:pPr>
        <w:spacing w:line="360" w:lineRule="auto"/>
        <w:jc w:val="both"/>
        <w:rPr>
          <w:rFonts w:ascii="Arial" w:hAnsi="Arial"/>
          <w:b/>
          <w:bCs/>
          <w:noProof w:val="0"/>
          <w:u w:val="single"/>
          <w:rtl/>
        </w:rPr>
      </w:pPr>
      <w:r w:rsidRPr="00112527">
        <w:rPr>
          <w:rFonts w:ascii="Arial" w:hAnsi="Arial" w:hint="cs"/>
          <w:b/>
          <w:bCs/>
          <w:noProof w:val="0"/>
          <w:u w:val="single"/>
          <w:rtl/>
        </w:rPr>
        <w:t xml:space="preserve">השופטת ט. לוי-מיכאלי: </w:t>
      </w:r>
    </w:p>
    <w:p w:rsidR="00112527" w:rsidRDefault="00112527">
      <w:pPr>
        <w:spacing w:line="360" w:lineRule="auto"/>
        <w:jc w:val="both"/>
        <w:rPr>
          <w:rFonts w:ascii="Arial" w:hAnsi="Arial"/>
          <w:noProof w:val="0"/>
          <w:rtl/>
        </w:rPr>
      </w:pPr>
      <w:r>
        <w:rPr>
          <w:rFonts w:ascii="Arial" w:hAnsi="Arial" w:hint="cs"/>
          <w:noProof w:val="0"/>
          <w:rtl/>
        </w:rPr>
        <w:t xml:space="preserve">אני מסכימה. </w:t>
      </w:r>
    </w:p>
    <w:tbl>
      <w:tblPr>
        <w:tblStyle w:val="a9"/>
        <w:tblpPr w:leftFromText="180" w:rightFromText="180" w:vertAnchor="text" w:horzAnchor="margin" w:tblpY="215"/>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684"/>
      </w:tblGrid>
      <w:tr w:rsidR="00112527" w:rsidTr="00112527">
        <w:trPr>
          <w:trHeight w:val="415"/>
        </w:trPr>
        <w:tc>
          <w:tcPr>
            <w:tcW w:w="2684" w:type="dxa"/>
            <w:tcBorders>
              <w:top w:val="nil"/>
              <w:left w:val="nil"/>
              <w:bottom w:val="single" w:sz="4" w:space="0" w:color="auto"/>
              <w:right w:val="nil"/>
            </w:tcBorders>
            <w:hideMark/>
          </w:tcPr>
          <w:p w:rsidR="00112527" w:rsidRDefault="00112527" w:rsidP="00112527">
            <w:pPr>
              <w:jc w:val="center"/>
              <w:rPr>
                <w:rtl/>
              </w:rPr>
            </w:pPr>
            <w:r>
              <w:drawing>
                <wp:inline distT="0" distB="0" distL="0" distR="0" wp14:anchorId="65BEA34D" wp14:editId="5D8BB243">
                  <wp:extent cx="704850" cy="36195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112527" w:rsidTr="00112527">
        <w:trPr>
          <w:trHeight w:val="491"/>
        </w:trPr>
        <w:tc>
          <w:tcPr>
            <w:tcW w:w="2684" w:type="dxa"/>
            <w:tcBorders>
              <w:top w:val="single" w:sz="4" w:space="0" w:color="auto"/>
              <w:left w:val="nil"/>
              <w:bottom w:val="nil"/>
              <w:right w:val="nil"/>
            </w:tcBorders>
            <w:hideMark/>
          </w:tcPr>
          <w:p w:rsidR="00112527" w:rsidRDefault="00112527" w:rsidP="00112527">
            <w:pPr>
              <w:jc w:val="center"/>
              <w:rPr>
                <w:b/>
                <w:bCs/>
                <w:rtl/>
              </w:rPr>
            </w:pPr>
            <w:r>
              <w:rPr>
                <w:rFonts w:hint="cs"/>
                <w:b/>
                <w:bCs/>
                <w:rtl/>
              </w:rPr>
              <w:t>טל לוי מיכאלי</w:t>
            </w:r>
            <w:r>
              <w:rPr>
                <w:b/>
                <w:bCs/>
                <w:rtl/>
              </w:rPr>
              <w:t>, שופטת</w:t>
            </w:r>
          </w:p>
        </w:tc>
      </w:tr>
    </w:tbl>
    <w:p w:rsidR="00112527" w:rsidRDefault="00112527" w:rsidP="00AA18F1">
      <w:pPr>
        <w:jc w:val="center"/>
      </w:pPr>
    </w:p>
    <w:p w:rsidR="00112527" w:rsidRDefault="00112527" w:rsidP="00AA18F1">
      <w:pPr>
        <w:rPr>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12527" w:rsidRDefault="00112527">
      <w:pPr>
        <w:spacing w:line="360" w:lineRule="auto"/>
        <w:jc w:val="both"/>
        <w:rPr>
          <w:rFonts w:ascii="Arial" w:hAnsi="Arial"/>
          <w:noProof w:val="0"/>
          <w:rtl/>
        </w:rPr>
      </w:pPr>
    </w:p>
    <w:p w:rsidR="00112527" w:rsidRDefault="00112527">
      <w:pPr>
        <w:spacing w:line="360" w:lineRule="auto"/>
        <w:jc w:val="both"/>
        <w:rPr>
          <w:rFonts w:ascii="Arial" w:hAnsi="Arial"/>
          <w:b/>
          <w:bCs/>
          <w:noProof w:val="0"/>
          <w:u w:val="single"/>
          <w:rtl/>
        </w:rPr>
      </w:pPr>
    </w:p>
    <w:p w:rsidR="00112527" w:rsidRPr="00112527" w:rsidRDefault="00112527">
      <w:pPr>
        <w:spacing w:line="360" w:lineRule="auto"/>
        <w:jc w:val="both"/>
        <w:rPr>
          <w:rFonts w:ascii="Arial" w:hAnsi="Arial"/>
          <w:b/>
          <w:bCs/>
          <w:noProof w:val="0"/>
          <w:u w:val="single"/>
          <w:rtl/>
        </w:rPr>
      </w:pPr>
      <w:r w:rsidRPr="00112527">
        <w:rPr>
          <w:rFonts w:ascii="Arial" w:hAnsi="Arial" w:hint="cs"/>
          <w:b/>
          <w:bCs/>
          <w:noProof w:val="0"/>
          <w:u w:val="single"/>
          <w:rtl/>
        </w:rPr>
        <w:t>תוצאה</w:t>
      </w:r>
    </w:p>
    <w:p w:rsidR="00112527" w:rsidRDefault="00112527">
      <w:pPr>
        <w:spacing w:line="360" w:lineRule="auto"/>
        <w:jc w:val="both"/>
        <w:rPr>
          <w:rFonts w:ascii="Arial" w:hAnsi="Arial"/>
          <w:noProof w:val="0"/>
          <w:rtl/>
        </w:rPr>
      </w:pPr>
      <w:r>
        <w:rPr>
          <w:rFonts w:ascii="Arial" w:hAnsi="Arial" w:hint="cs"/>
          <w:noProof w:val="0"/>
          <w:rtl/>
        </w:rPr>
        <w:t xml:space="preserve">הערעור נדחה. </w:t>
      </w:r>
    </w:p>
    <w:p w:rsidR="00112527" w:rsidRDefault="00112527" w:rsidP="00D44FBE">
      <w:pPr>
        <w:spacing w:line="360" w:lineRule="auto"/>
        <w:jc w:val="both"/>
        <w:rPr>
          <w:rFonts w:ascii="Arial" w:hAnsi="Arial"/>
          <w:noProof w:val="0"/>
          <w:rtl/>
        </w:rPr>
      </w:pPr>
      <w:r>
        <w:rPr>
          <w:rFonts w:ascii="Arial" w:hAnsi="Arial" w:hint="cs"/>
          <w:noProof w:val="0"/>
          <w:rtl/>
        </w:rPr>
        <w:t xml:space="preserve">המערער ישלם למשיב הוצאות הערעור בסך </w:t>
      </w:r>
      <w:r w:rsidR="00D44FBE">
        <w:rPr>
          <w:rFonts w:ascii="Arial" w:hAnsi="Arial" w:hint="cs"/>
          <w:noProof w:val="0"/>
          <w:rtl/>
        </w:rPr>
        <w:t>30</w:t>
      </w:r>
      <w:r>
        <w:rPr>
          <w:rFonts w:ascii="Arial" w:hAnsi="Arial" w:hint="cs"/>
          <w:noProof w:val="0"/>
          <w:rtl/>
        </w:rPr>
        <w:t xml:space="preserve">,000 ₪. </w:t>
      </w:r>
    </w:p>
    <w:p w:rsidR="00112527" w:rsidRDefault="00112527">
      <w:pPr>
        <w:spacing w:line="360" w:lineRule="auto"/>
        <w:jc w:val="both"/>
        <w:rPr>
          <w:rFonts w:ascii="Arial" w:hAnsi="Arial"/>
          <w:noProof w:val="0"/>
          <w:rtl/>
        </w:rPr>
      </w:pPr>
      <w:r>
        <w:rPr>
          <w:rFonts w:ascii="Arial" w:hAnsi="Arial" w:hint="cs"/>
          <w:noProof w:val="0"/>
          <w:rtl/>
        </w:rPr>
        <w:t xml:space="preserve">המזכירות תעביר למשיב את העירבון, כולל פירותיו, על חשבון ההוצאות שנפסקו. </w:t>
      </w:r>
    </w:p>
    <w:p w:rsidR="00112527" w:rsidRDefault="00112527">
      <w:pPr>
        <w:spacing w:line="360" w:lineRule="auto"/>
        <w:jc w:val="both"/>
        <w:rPr>
          <w:rFonts w:ascii="Arial" w:hAnsi="Arial"/>
          <w:noProof w:val="0"/>
          <w:rtl/>
        </w:rPr>
      </w:pPr>
    </w:p>
    <w:p w:rsidR="00112527" w:rsidRDefault="00112527">
      <w:pPr>
        <w:spacing w:line="360" w:lineRule="auto"/>
        <w:jc w:val="both"/>
        <w:rPr>
          <w:rFonts w:ascii="Arial" w:hAnsi="Arial"/>
          <w:noProof w:val="0"/>
          <w:rtl/>
        </w:rPr>
      </w:pPr>
    </w:p>
    <w:p w:rsidR="00112527" w:rsidRDefault="00112527">
      <w:pPr>
        <w:spacing w:line="360" w:lineRule="auto"/>
        <w:jc w:val="both"/>
        <w:rPr>
          <w:rFonts w:ascii="Arial" w:hAnsi="Arial"/>
          <w:noProof w:val="0"/>
          <w:rtl/>
        </w:rPr>
      </w:pPr>
    </w:p>
    <w:p w:rsidR="00694556" w:rsidRDefault="00005C8B" w:rsidP="00D44FB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י"ב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15 ספטמבר 2024</w:t>
          </w:r>
        </w:sdtContent>
      </w:sdt>
      <w:r>
        <w:rPr>
          <w:rFonts w:ascii="Arial" w:hAnsi="Arial"/>
          <w:noProof w:val="0"/>
          <w:rtl/>
        </w:rPr>
        <w:t>, בהעדר 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B266AC" w:rsidRPr="00BF3AE2" w:rsidTr="0090550C">
        <w:tc>
          <w:tcPr>
            <w:tcW w:w="2960" w:type="dxa"/>
            <w:tcBorders>
              <w:top w:val="nil"/>
              <w:left w:val="nil"/>
              <w:bottom w:val="single" w:sz="4" w:space="0" w:color="auto"/>
              <w:right w:val="nil"/>
            </w:tcBorders>
            <w:vAlign w:val="center"/>
          </w:tcPr>
          <w:p w:rsidR="00B266AC" w:rsidRPr="00BF3AE2" w:rsidRDefault="00B266AC"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B266AC" w:rsidRPr="00BF3AE2" w:rsidRDefault="00B266AC"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B266AC" w:rsidRPr="00BF3AE2" w:rsidRDefault="00B266AC"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53pt" o:ole="">
                  <v:imagedata r:id="rId12" o:title=""/>
                </v:shape>
                <o:OLEObject Type="Embed" ProgID="PBrush" ShapeID="_x0000_i1025" DrawAspect="Content" ObjectID="_1787987766" r:id="rId13"/>
              </w:object>
            </w:r>
          </w:p>
        </w:tc>
        <w:tc>
          <w:tcPr>
            <w:tcW w:w="300" w:type="dxa"/>
            <w:vAlign w:val="center"/>
          </w:tcPr>
          <w:p w:rsidR="00B266AC" w:rsidRPr="00BF3AE2" w:rsidRDefault="00B266AC"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B266AC" w:rsidRPr="00BF3AE2" w:rsidRDefault="00B266AC"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B266AC" w:rsidRPr="00BF3AE2" w:rsidTr="0090550C">
        <w:tc>
          <w:tcPr>
            <w:tcW w:w="2960" w:type="dxa"/>
            <w:tcBorders>
              <w:top w:val="single" w:sz="4" w:space="0" w:color="auto"/>
              <w:left w:val="nil"/>
              <w:bottom w:val="nil"/>
              <w:right w:val="nil"/>
            </w:tcBorders>
            <w:vAlign w:val="bottom"/>
          </w:tcPr>
          <w:p w:rsidR="00B266AC" w:rsidRPr="00BF3AE2" w:rsidRDefault="00B266AC" w:rsidP="005C6E5C">
            <w:pPr>
              <w:jc w:val="center"/>
              <w:rPr>
                <w:rFonts w:ascii="Courier New" w:hAnsi="Courier New"/>
                <w:b/>
                <w:bCs/>
                <w:rtl/>
              </w:rPr>
            </w:pPr>
            <w:r>
              <w:rPr>
                <w:rFonts w:ascii="Courier New" w:hAnsi="Courier New"/>
                <w:b/>
                <w:bCs/>
                <w:rtl/>
              </w:rPr>
              <w:t>יונה אטדגי, שופט</w:t>
            </w:r>
          </w:p>
          <w:p w:rsidR="00B266AC" w:rsidRPr="00BF3AE2" w:rsidRDefault="00B266AC"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B266AC" w:rsidRPr="00BF3AE2" w:rsidRDefault="00B266AC"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B266AC" w:rsidRPr="00BF3AE2" w:rsidRDefault="00B266AC"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B266AC" w:rsidRPr="00BF3AE2" w:rsidRDefault="00B266AC"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B266AC" w:rsidRPr="00BF3AE2" w:rsidRDefault="00B266AC"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5D264F18D89649A1850ED417638E5AD8"/>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B266AC" w:rsidRDefault="00B266AC"/>
    <w:p w:rsidR="00694556" w:rsidRDefault="005B0F49" w:rsidP="00D44FBE">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p>
    <w:sectPr w:rsidR="00694556" w:rsidSect="002726BD">
      <w:headerReference w:type="even" r:id="rId14"/>
      <w:headerReference w:type="default" r:id="rId15"/>
      <w:footerReference w:type="even" r:id="rId16"/>
      <w:footerReference w:type="default" r:id="rId17"/>
      <w:headerReference w:type="first" r:id="rId18"/>
      <w:footerReference w:type="first" r:id="rId19"/>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A366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A3668">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2A3668">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29742-08-23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יעקב נ' היכל</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314EC"/>
    <w:multiLevelType w:val="hybridMultilevel"/>
    <w:tmpl w:val="2F4A7296"/>
    <w:lvl w:ilvl="0" w:tplc="0409000F">
      <w:start w:val="1"/>
      <w:numFmt w:val="decimal"/>
      <w:lvlText w:val="%1."/>
      <w:lvlJc w:val="left"/>
      <w:pPr>
        <w:ind w:left="720" w:hanging="360"/>
      </w:pPr>
    </w:lvl>
    <w:lvl w:ilvl="1" w:tplc="72605BA6">
      <w:start w:val="1"/>
      <w:numFmt w:val="hebrew1"/>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148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14811&amp;lt;/CaseID&amp;gt;_x000d__x000a_        &amp;lt;CaseMonth&amp;gt;8&amp;lt;/CaseMonth&amp;gt;_x000d__x000a_        &amp;lt;CaseYear&amp;gt;2023&amp;lt;/CaseYear&amp;gt;_x000d__x000a_        &amp;lt;CaseNumber&amp;gt;29742&amp;lt;/CaseNumber&amp;gt;_x000d__x000a_        &amp;lt;NumeratorGroupID&amp;gt;1&amp;lt;/NumeratorGroupID&amp;gt;_x000d__x000a_        &amp;lt;CaseName&amp;gt;יעקב נ&amp;#39; היכל&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9742-08-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8-13T10:19: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ם כרוכים הודעת ערעור  מועברים   ללשכ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14811&amp;lt;/CaseID&amp;gt;_x000d__x000a_        &amp;lt;CaseMonth&amp;gt;8&amp;lt;/CaseMonth&amp;gt;_x000d__x000a_        &amp;lt;CaseYear&amp;gt;2023&amp;lt;/CaseYear&amp;gt;_x000d__x000a_        &amp;lt;CaseNumber&amp;gt;29742&amp;lt;/CaseNumber&amp;gt;_x000d__x000a_        &amp;lt;NumeratorGroupID&amp;gt;1&amp;lt;/NumeratorGroupID&amp;gt;_x000d__x000a_        &amp;lt;CaseName&amp;gt;יעקב נ&amp;#39; היכל&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9742-08-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8-13T10:19: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ם כרוכים הודעת ערעור  מועברים   ללשכ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36515&amp;lt;/DecisionID&amp;gt;_x000d__x000a_        &amp;lt;DecisionName&amp;gt;פסק דין  שניתנה ע&amp;quot;י  יונה אטדגי&amp;lt;/DecisionName&amp;gt;_x000d__x000a_        &amp;lt;DecisionStatusID&amp;gt;1&amp;lt;/DecisionStatusID&amp;gt;_x000d__x000a_        &amp;lt;DecisionStatusChangeDate&amp;gt;2024-09-15T12:01:31.903+03:00&amp;lt;/DecisionStatusChangeDate&amp;gt;_x000d__x000a_        &amp;lt;DecisionSignatureDate&amp;gt;2024-09-15T12:01:28.89+03:00&amp;lt;/DecisionSignatureDate&amp;gt;_x000d__x000a_        &amp;lt;DecisionSignatureUserID&amp;gt;012356945@GOV.IL&amp;lt;/DecisionSignatureUserID&amp;gt;_x000d__x000a_        &amp;lt;DecisionCreateDate&amp;gt;2024-09-11T11:37:03.02+03:00&amp;lt;/DecisionCreateDate&amp;gt;_x000d__x000a_        &amp;lt;DecisionChangeDate&amp;gt;2024-09-15T12:01:32.02+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85038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4836515&amp;lt;/DecisionID&amp;gt;_x000d__x000a_        &amp;lt;CaseID&amp;gt;80514811&amp;lt;/CaseID&amp;gt;_x000d__x000a_        &amp;lt;IsOriginal&amp;gt;true&amp;lt;/IsOriginal&amp;gt;_x000d__x000a_        &amp;lt;IsDeleted&amp;gt;false&amp;lt;/IsDeleted&amp;gt;_x000d__x000a_        &amp;lt;CaseName&amp;gt;יעקב נ&amp;#39; היכל&amp;lt;/CaseName&amp;gt;_x000d__x000a_        &amp;lt;CaseDisplayIdentifier&amp;gt;29742-08-23 ע&amp;quot;א&amp;lt;/CaseDisplayIdentifier&amp;gt;_x000d__x000a_      &amp;lt;/dt_DecisionCase&amp;gt;_x000d__x000a_      &amp;lt;dt_DecisionJudgePanel diffgr:id=&amp;quot;dt_DecisionJudgePanel1&amp;quot; msdata:rowOrder=&amp;quot;0&amp;quot;&amp;gt;_x000d__x000a_        &amp;lt;DecisionID&amp;gt;154836515&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836515&amp;lt;/DecisionID&amp;gt;_x000d__x000a_        &amp;lt;JudgeID&amp;gt;05921683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836515&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4836515"/>
    <w:docVar w:name="docID" w:val="454850387"/>
    <w:docVar w:name="judgeUPN" w:val="012356945@GOV.IL"/>
    <w:docVar w:name="NGCS.TemplateCaseInterestID" w:val="10432"/>
    <w:docVar w:name="NGCS.TemplateCaseTypeID" w:val="10001"/>
    <w:docVar w:name="NGCS.TemplateCourtID" w:val="15"/>
    <w:docVar w:name="NGCS.TemplateProceedingID" w:val="14"/>
    <w:docVar w:name="noteDocID" w:val="454850387"/>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B2E97"/>
    <w:rsid w:val="000D4A02"/>
    <w:rsid w:val="001072A9"/>
    <w:rsid w:val="00112527"/>
    <w:rsid w:val="00121F97"/>
    <w:rsid w:val="001277D7"/>
    <w:rsid w:val="00132017"/>
    <w:rsid w:val="0014234E"/>
    <w:rsid w:val="00145A87"/>
    <w:rsid w:val="00163E26"/>
    <w:rsid w:val="001C4003"/>
    <w:rsid w:val="001F5474"/>
    <w:rsid w:val="002352F7"/>
    <w:rsid w:val="002726BD"/>
    <w:rsid w:val="00295DD1"/>
    <w:rsid w:val="002A3668"/>
    <w:rsid w:val="00381D3A"/>
    <w:rsid w:val="003823DA"/>
    <w:rsid w:val="003E43CA"/>
    <w:rsid w:val="0043595F"/>
    <w:rsid w:val="0047645A"/>
    <w:rsid w:val="004D49A3"/>
    <w:rsid w:val="004E6E3C"/>
    <w:rsid w:val="005124F1"/>
    <w:rsid w:val="0051350E"/>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7056AA"/>
    <w:rsid w:val="00744F41"/>
    <w:rsid w:val="007A24FE"/>
    <w:rsid w:val="007A35AA"/>
    <w:rsid w:val="007F1048"/>
    <w:rsid w:val="00820005"/>
    <w:rsid w:val="0083107C"/>
    <w:rsid w:val="00831FFB"/>
    <w:rsid w:val="00846D27"/>
    <w:rsid w:val="008610A7"/>
    <w:rsid w:val="008E1332"/>
    <w:rsid w:val="00903896"/>
    <w:rsid w:val="00927813"/>
    <w:rsid w:val="00944D13"/>
    <w:rsid w:val="00957C90"/>
    <w:rsid w:val="009E0263"/>
    <w:rsid w:val="00A0260A"/>
    <w:rsid w:val="00A267CF"/>
    <w:rsid w:val="00A43458"/>
    <w:rsid w:val="00AC4E19"/>
    <w:rsid w:val="00AF1ED6"/>
    <w:rsid w:val="00B266AC"/>
    <w:rsid w:val="00B32C61"/>
    <w:rsid w:val="00B368FE"/>
    <w:rsid w:val="00B80CBD"/>
    <w:rsid w:val="00BC3369"/>
    <w:rsid w:val="00BF77EE"/>
    <w:rsid w:val="00C32E0F"/>
    <w:rsid w:val="00C42BF9"/>
    <w:rsid w:val="00C83E56"/>
    <w:rsid w:val="00CD0055"/>
    <w:rsid w:val="00D319B3"/>
    <w:rsid w:val="00D44FBE"/>
    <w:rsid w:val="00D53924"/>
    <w:rsid w:val="00D60849"/>
    <w:rsid w:val="00D96D8C"/>
    <w:rsid w:val="00DD337E"/>
    <w:rsid w:val="00E00B6F"/>
    <w:rsid w:val="00E50B33"/>
    <w:rsid w:val="00E54642"/>
    <w:rsid w:val="00E7078D"/>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72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82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463BBA3B32439A9E6B3D5E1F9F9428"/>
        <w:category>
          <w:name w:val="כללי"/>
          <w:gallery w:val="placeholder"/>
        </w:category>
        <w:types>
          <w:type w:val="bbPlcHdr"/>
        </w:types>
        <w:behaviors>
          <w:behavior w:val="content"/>
        </w:behaviors>
        <w:guid w:val="{2DB935E2-83A2-4BC5-B5F5-35BCB51D1B81}"/>
      </w:docPartPr>
      <w:docPartBody>
        <w:p w:rsidR="00112B1C" w:rsidRDefault="007C08ED" w:rsidP="007C08ED">
          <w:pPr>
            <w:pStyle w:val="73463BBA3B32439A9E6B3D5E1F9F9428"/>
          </w:pPr>
          <w:r>
            <w:rPr>
              <w:rFonts w:cs="David"/>
              <w:b/>
              <w:bCs/>
              <w:rtl/>
            </w:rPr>
            <w:t>שם פרטי חותם</w:t>
          </w:r>
        </w:p>
      </w:docPartBody>
    </w:docPart>
    <w:docPart>
      <w:docPartPr>
        <w:name w:val="C9BC7D08CBEA4537A48686ADD59C2CA1"/>
        <w:category>
          <w:name w:val="כללי"/>
          <w:gallery w:val="placeholder"/>
        </w:category>
        <w:types>
          <w:type w:val="bbPlcHdr"/>
        </w:types>
        <w:behaviors>
          <w:behavior w:val="content"/>
        </w:behaviors>
        <w:guid w:val="{485BE74D-6EEC-4AA2-B3ED-7DCD09E1A81A}"/>
      </w:docPartPr>
      <w:docPartBody>
        <w:p w:rsidR="00112B1C" w:rsidRDefault="007C08ED" w:rsidP="007C08ED">
          <w:pPr>
            <w:pStyle w:val="C9BC7D08CBEA4537A48686ADD59C2CA1"/>
          </w:pPr>
          <w:r>
            <w:rPr>
              <w:rFonts w:cs="David"/>
              <w:b/>
              <w:bCs/>
              <w:rtl/>
            </w:rPr>
            <w:t>שם משפחה חותם</w:t>
          </w:r>
        </w:p>
      </w:docPartBody>
    </w:docPart>
    <w:docPart>
      <w:docPartPr>
        <w:name w:val="5D264F18D89649A1850ED417638E5AD8"/>
        <w:category>
          <w:name w:val="כללי"/>
          <w:gallery w:val="placeholder"/>
        </w:category>
        <w:types>
          <w:type w:val="bbPlcHdr"/>
        </w:types>
        <w:behaviors>
          <w:behavior w:val="content"/>
        </w:behaviors>
        <w:guid w:val="{E85A8777-D011-4D1C-95F0-9524BDC8D868}"/>
      </w:docPartPr>
      <w:docPartBody>
        <w:p w:rsidR="00112B1C" w:rsidRDefault="007C08ED" w:rsidP="007C08ED">
          <w:pPr>
            <w:pStyle w:val="5D264F18D89649A1850ED417638E5AD8"/>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12B1C"/>
    <w:rsid w:val="00227C29"/>
    <w:rsid w:val="007C08ED"/>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54673664D3B04353BA7D331C771D85AD">
    <w:name w:val="54673664D3B04353BA7D331C771D85AD"/>
    <w:rsid w:val="007C08ED"/>
    <w:pPr>
      <w:bidi/>
    </w:pPr>
  </w:style>
  <w:style w:type="paragraph" w:customStyle="1" w:styleId="C4A2E24F50B94F3CA9838FB02F68DAB3">
    <w:name w:val="C4A2E24F50B94F3CA9838FB02F68DAB3"/>
    <w:rsid w:val="007C08ED"/>
    <w:pPr>
      <w:bidi/>
    </w:pPr>
  </w:style>
  <w:style w:type="paragraph" w:customStyle="1" w:styleId="73463BBA3B32439A9E6B3D5E1F9F9428">
    <w:name w:val="73463BBA3B32439A9E6B3D5E1F9F9428"/>
    <w:rsid w:val="007C08ED"/>
    <w:pPr>
      <w:bidi/>
    </w:pPr>
  </w:style>
  <w:style w:type="paragraph" w:customStyle="1" w:styleId="C9BC7D08CBEA4537A48686ADD59C2CA1">
    <w:name w:val="C9BC7D08CBEA4537A48686ADD59C2CA1"/>
    <w:rsid w:val="007C08ED"/>
    <w:pPr>
      <w:bidi/>
    </w:pPr>
  </w:style>
  <w:style w:type="paragraph" w:customStyle="1" w:styleId="5D264F18D89649A1850ED417638E5AD8">
    <w:name w:val="5D264F18D89649A1850ED417638E5AD8"/>
    <w:rsid w:val="007C08E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גדעון היכל</FullName>
        <FirstName>גדעון</FirstName>
        <LastName>היכל</LastName>
        <PartyPropertyName/>
        <AuthenticationTypeAndNumber>מ.ר. 9874</AuthenticationTypeAndNumber>
        <RepresentatedOrRepresentativesNames>גדעון היכל</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259679881</CasePartyID>
        <PartyTypeID>2</PartyTypeID>
        <ActivityStatusID>1</ActivityStatusID>
        <PartyAliasID>23</PartyAliasID>
        <PartyAliasName>בא כוח משיבים</PartyAliasName>
        <LegalEntityID>381037</LegalEntityID>
        <CaseLegalEntityID>125644777</CaseLegalEntityID>
        <AuthenticationTypeID>4</AuthenticationTypeID>
        <AuthenticationTypeName>מ.ר.</AuthenticationTypeName>
        <LegalEntityNumber>9874</LegalEntityNumber>
        <IsMainPartyType>true</IsMainPartyType>
        <CaseDisplayIdentifier>29742-08-23</CaseDisplayIdentifier>
        <CaseTypeID>10001</CaseTypeID>
        <CaseTypeName>ערעור אזרחי (ע"א)</CaseTypeName>
        <CaseName>יעקב נ' היכל</CaseName>
        <FullAddress>אבן גבירול 76 תל אביב -יפו </FullAddress>
        <EmailAddress>info@advocate.name</EmailAddress>
        <MotionID>0</MotionID>
        <CasePleaID>0</CasePleaID>
        <LinkedCaseID>0</LinkedCaseID>
        <PartyID>2</PartyID>
        <CasePartyCategoryID>2</CasePartyCategoryID>
        <LegalEntityAddressID>83060570</LegalEntityAddressID>
        <LegalEntityEmailAddressID>104</LegalEntityEmailAddressID>
        <PleaTypeID>6</PleaTypeID>
        <LawyerOfficeName>היכל גדעון - משרד עו"ד</LawyerOfficeName>
        <LawyerOfficeID>419084</LawyerOfficeID>
        <GroupPartyAlias/>
        <IsConverted>false</IsConverted>
        <LegalEntityNameID>2021</LegalEntityNameID>
        <RepresentatedNamesOfAssistant/>
        <LegalEntityTypeID>4</LegalEntityTypeID>
        <IsVerdictExists>false</IsVerdictExists>
        <IsAsirAzir>false</IsAsirAzir>
        <MainAndSecSpec/>
        <IsPublicationProhibited>false</IsPublicationProhibited>
        <PublicationProhibitedFullName>גדעון היכל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יוגב חלפון</FullName>
        <FirstName>יוגב</FirstName>
        <LastName>חלפון</LastName>
        <PartyPropertyName/>
        <AuthenticationTypeAndNumber>מ.ר. 40485</AuthenticationTypeAndNumber>
        <RepresentatedOrRepresentativesNames>צבי יעקב</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259434635</CasePartyID>
        <PartyTypeID>2</PartyTypeID>
        <ActivityStatusID>1</ActivityStatusID>
        <PartyAliasID>24</PartyAliasID>
        <PartyAliasName>בא כוח מערערים</PartyAliasName>
        <OrdinalNumber>1</OrdinalNumber>
        <LegalEntityID>414433</LegalEntityID>
        <CaseLegalEntityID>125549827</CaseLegalEntityID>
        <AuthenticationTypeID>4</AuthenticationTypeID>
        <AuthenticationTypeName>מ.ר.</AuthenticationTypeName>
        <LegalEntityNumber>40485</LegalEntityNumber>
        <IsMainPartyType>true</IsMainPartyType>
        <CaseDisplayIdentifier>29742-08-23</CaseDisplayIdentifier>
        <CaseTypeID>10001</CaseTypeID>
        <CaseTypeName>ערעור אזרחי (ע"א)</CaseTypeName>
        <CaseName>יעקב נ' היכל</CaseName>
        <FullAddress>ז'בוטינסקי 7 רמת גן קומה 56דירה 1</FullAddress>
        <EmailAddress>yogev-h@bezeqint.net</EmailAddress>
        <MotionID>0</MotionID>
        <CasePleaID>0</CasePleaID>
        <LinkedCaseID>0</LinkedCaseID>
        <PartyID>1</PartyID>
        <CasePartyCategoryID>2</CasePartyCategoryID>
        <LegalEntityAddressID>76476028</LegalEntityAddressID>
        <LegalEntityEmailAddressID>67897477</LegalEntityEmailAddressID>
        <PleaTypeID>6</PleaTypeID>
        <LawyerOfficeName>משרד עו"ד: חלפון ושות'</LawyerOfficeName>
        <LawyerOfficeID>455077</LawyerOfficeID>
        <GroupPartyAlias/>
        <IsConverted>false</IsConverted>
        <LegalEntityNameID>35417</LegalEntityNameID>
        <RepresentatedNamesOfAssistant/>
        <LegalEntityTypeID>4</LegalEntityTypeID>
        <IsVerdictExists>false</IsVerdictExists>
        <IsAsirAzir>false</IsAsirAzir>
        <MainAndSecSpec/>
        <IsPublicationProhibited>false</IsPublicationProhibited>
        <PublicationProhibitedFullName>יוגב חלפון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צבי יעקב</FullName>
        <FirstName>צבי</FirstName>
        <LastName>יעקב</LastName>
        <PartyPropertyName/>
        <AuthenticationTypeAndNumber>ת"ז 047675210</AuthenticationTypeAndNumber>
        <RepresentatedOrRepresentativesNames>יוגב חלפון</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259434633</CasePartyID>
        <PartyTypeID>1</PartyTypeID>
        <ActivityStatusID>1</ActivityStatusID>
        <PartyAliasID>5</PartyAliasID>
        <PartyAliasName>מערער</PartyAliasName>
        <OrdinalNumber>1</OrdinalNumber>
        <LegalEntityID>16631069</LegalEntityID>
        <CaseLegalEntityID>125549825</CaseLegalEntityID>
        <AuthenticationTypeID>1</AuthenticationTypeID>
        <AuthenticationTypeName>ת"ז</AuthenticationTypeName>
        <LegalEntityNumber>047675210</LegalEntityNumber>
        <IsMainPartyType>true</IsMainPartyType>
        <CaseDisplayIdentifier>29742-08-23</CaseDisplayIdentifier>
        <CaseTypeID>10001</CaseTypeID>
        <CaseTypeName>ערעור אזרחי (ע"א)</CaseTypeName>
        <CaseName>יעקב נ' היכל</CaseName>
        <FullAddress>גוש העציון 17 תל אביב -יפו </FullAddress>
        <MotionID>0</MotionID>
        <CasePleaID>0</CasePleaID>
        <BirthDate>1932-01-01T00:00:00+02:00</BirthDate>
        <FatherName>ציון</FatherName>
        <LinkedCaseID>0</LinkedCaseID>
        <PartyID>1</PartyID>
        <CasePartyCategoryID>2</CasePartyCategoryID>
        <LegalEntityAddressID>85999424</LegalEntityAddressID>
        <PleaTypeID>6</PleaTypeID>
        <GroupPartyAlias>מערערים</GroupPartyAlias>
        <IsConverted>false</IsConverted>
        <LegalEntityRegisteredNameID>10454147</LegalEntityRegisteredNameID>
        <LegalEntityNameID>90875323</LegalEntityNameID>
        <RepresentatedNamesOfAssistant/>
        <LegalEntityTypeID>1</LegalEntityTypeID>
        <IsVerdictExists>false</IsVerdictExists>
        <IsAsirAzir>false</IsAsirAzir>
        <MainAndSecSpec/>
        <IsPublicationProhibited>false</IsPublicationProhibited>
        <PublicationProhibitedFullName>צבי יעקב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גדעון היכל</FullName>
        <FirstName>גדעון</FirstName>
        <LastName>היכל</LastName>
        <PartyPropertyName/>
        <AuthenticationTypeAndNumber>ת"ז </AuthenticationTypeAndNumber>
        <RepresentatedOrRepresentativesNames>גדעון היכל</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259434634</CasePartyID>
        <PartyTypeID>1</PartyTypeID>
        <ActivityStatusID>1</ActivityStatusID>
        <PartyAliasID>4</PartyAliasID>
        <PartyAliasName>משיב</PartyAliasName>
        <OrdinalNumber>1</OrdinalNumber>
        <LegalEntityID>79530346</LegalEntityID>
        <CaseLegalEntityID>125549826</CaseLegalEntityID>
        <AuthenticationTypeID>1</AuthenticationTypeID>
        <AuthenticationTypeName>ת"ז</AuthenticationTypeName>
        <IsMainPartyType>true</IsMainPartyType>
        <CaseDisplayIdentifier>29742-08-23</CaseDisplayIdentifier>
        <CaseTypeID>10001</CaseTypeID>
        <CaseTypeName>ערעור אזרחי (ע"א)</CaseTypeName>
        <CaseName>יעקב נ' היכל</CaseName>
        <FullAddress>אבן גבירול 76 תל אביב -יפו </FullAddress>
        <MotionID>0</MotionID>
        <CasePleaID>0</CasePleaID>
        <LinkedCaseID>0</LinkedCaseID>
        <PartyID>2</PartyID>
        <CasePartyCategoryID>2</CasePartyCategoryID>
        <LegalEntityAddressID>88289322</LegalEntityAddressID>
        <PleaTypeID>6</PleaTypeID>
        <GroupPartyAlias>משיבים</GroupPartyAlias>
        <IsConverted>false</IsConverted>
        <LegalEntityNameID>90875324</LegalEntityNameID>
        <RepresentatedNamesOfAssistant/>
        <LegalEntityTypeID>1</LegalEntityTypeID>
        <IsVerdictExists>false</IsVerdictExists>
        <IsAsirAzir>false</IsAsirAzir>
        <MainAndSecSpec/>
        <IsPublicationProhibited>false</IsPublicationProhibited>
        <PublicationProhibitedFullName>גדעון היכל</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2024-09-11T11:31:45.637553+03:00</DecisionSignatureDate>
    <OpenCaseDate>2023-08-13T10:19:00+03:00</OpenCaseDate>
    <CaseFeeSum>0.000</CaseFeeSum>
    <DecisionTypeID>2</DecisionTypeID>
    <DecisionSignatureUserName>יונה אטדגי</DecisionSignatureUserName>
    <DecisionSignatureDateHebrew>2024-09-11T11:31:45.637553+03:00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יעקב נ' היכל</CaseName>
    <DecisionNumberInCase>13</DecisionNumberInCase>
  </dt_Decision>
  <dt_DecisionCase>
    <DecisionID>0</DecisionID>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גדעון היכל</FullName>
        <FirstName>גדעון</FirstName>
        <LastName>היכל</LastName>
        <PartyPropertyName/>
        <AuthenticationTypeAndNumber>מ.ר. 9874</AuthenticationTypeAndNumber>
        <RepresentatedOrRepresentativesNames>גדעון היכל</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259679881</CasePartyID>
        <PartyTypeID>2</PartyTypeID>
        <ActivityStatusID>1</ActivityStatusID>
        <PartyAliasID>23</PartyAliasID>
        <PartyAliasName>בא כוח משיבים</PartyAliasName>
        <LegalEntityID>381037</LegalEntityID>
        <CaseLegalEntityID>125644777</CaseLegalEntityID>
        <AuthenticationTypeID>4</AuthenticationTypeID>
        <AuthenticationTypeName>מ.ר.</AuthenticationTypeName>
        <LegalEntityNumber>9874</LegalEntityNumber>
        <IsMainPartyType>true</IsMainPartyType>
        <CaseDisplayIdentifier>29742-08-23</CaseDisplayIdentifier>
        <CaseTypeID>10001</CaseTypeID>
        <CaseTypeName>ערעור אזרחי (ע"א)</CaseTypeName>
        <CaseName>יעקב נ' היכל</CaseName>
        <FullAddress>אבן גבירול 76 תל אביב -יפו </FullAddress>
        <EmailAddress>info@advocate.name</EmailAddress>
        <MotionID>0</MotionID>
        <CasePleaID>0</CasePleaID>
        <LinkedCaseID>0</LinkedCaseID>
        <PartyID>2</PartyID>
        <CasePartyCategoryID>2</CasePartyCategoryID>
        <LegalEntityAddressID>83060570</LegalEntityAddressID>
        <LegalEntityEmailAddressID>104</LegalEntityEmailAddressID>
        <PleaTypeID>6</PleaTypeID>
        <LawyerOfficeName>היכל גדעון - משרד עו"ד</LawyerOfficeName>
        <LawyerOfficeID>419084</LawyerOfficeID>
        <GroupPartyAlias/>
        <IsConverted>false</IsConverted>
        <LegalEntityNameID>2021</LegalEntityNameID>
        <RepresentatedNamesOfAssistant/>
        <LegalEntityTypeID>4</LegalEntityTypeID>
        <IsVerdictExists>false</IsVerdictExists>
        <IsAsirAzir>false</IsAsirAzir>
        <MainAndSecSpec/>
        <IsPublicationProhibited>false</IsPublicationProhibited>
        <PublicationProhibitedFullName>גדעון היכל</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יוגב חלפון</FullName>
        <FirstName>יוגב</FirstName>
        <LastName>חלפון</LastName>
        <PartyPropertyName/>
        <AuthenticationTypeAndNumber>מ.ר. 40485</AuthenticationTypeAndNumber>
        <RepresentatedOrRepresentativesNames>צבי יעקב</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259434635</CasePartyID>
        <PartyTypeID>2</PartyTypeID>
        <ActivityStatusID>1</ActivityStatusID>
        <PartyAliasID>24</PartyAliasID>
        <PartyAliasName>בא כוח מערערים</PartyAliasName>
        <OrdinalNumber>1</OrdinalNumber>
        <LegalEntityID>414433</LegalEntityID>
        <CaseLegalEntityID>125549827</CaseLegalEntityID>
        <AuthenticationTypeID>4</AuthenticationTypeID>
        <AuthenticationTypeName>מ.ר.</AuthenticationTypeName>
        <LegalEntityNumber>40485</LegalEntityNumber>
        <IsMainPartyType>true</IsMainPartyType>
        <CaseDisplayIdentifier>29742-08-23</CaseDisplayIdentifier>
        <CaseTypeID>10001</CaseTypeID>
        <CaseTypeName>ערעור אזרחי (ע"א)</CaseTypeName>
        <CaseName>יעקב נ' היכל</CaseName>
        <FullAddress>ז'בוטינסקי 7 רמת גן קומה 56דירה 1</FullAddress>
        <EmailAddress>yogev-h@bezeqint.net</EmailAddress>
        <MotionID>0</MotionID>
        <CasePleaID>0</CasePleaID>
        <LinkedCaseID>0</LinkedCaseID>
        <PartyID>1</PartyID>
        <CasePartyCategoryID>2</CasePartyCategoryID>
        <LegalEntityAddressID>76476028</LegalEntityAddressID>
        <LegalEntityEmailAddressID>67897477</LegalEntityEmailAddressID>
        <PleaTypeID>6</PleaTypeID>
        <LawyerOfficeName>משרד עו"ד: חלפון ושות'</LawyerOfficeName>
        <LawyerOfficeID>455077</LawyerOfficeID>
        <GroupPartyAlias/>
        <IsConverted>false</IsConverted>
        <LegalEntityNameID>35417</LegalEntityNameID>
        <RepresentatedNamesOfAssistant/>
        <LegalEntityTypeID>4</LegalEntityTypeID>
        <IsVerdictExists>false</IsVerdictExists>
        <IsAsirAzir>false</IsAsirAzir>
        <MainAndSecSpec/>
        <IsPublicationProhibited>false</IsPublicationProhibited>
        <PublicationProhibitedFullName>יוגב חלפון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צבי יעקב</FullName>
        <FirstName>צבי</FirstName>
        <LastName>יעקב</LastName>
        <PartyPropertyName/>
        <AuthenticationTypeAndNumber>ת"ז 047675210</AuthenticationTypeAndNumber>
        <RepresentatedOrRepresentativesNames>יוגב חלפון</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259434633</CasePartyID>
        <PartyTypeID>1</PartyTypeID>
        <ActivityStatusID>1</ActivityStatusID>
        <PartyAliasID>5</PartyAliasID>
        <PartyAliasName>מערער</PartyAliasName>
        <OrdinalNumber>1</OrdinalNumber>
        <LegalEntityID>16631069</LegalEntityID>
        <CaseLegalEntityID>125549825</CaseLegalEntityID>
        <AuthenticationTypeID>1</AuthenticationTypeID>
        <AuthenticationTypeName>ת"ז</AuthenticationTypeName>
        <LegalEntityNumber>047675210</LegalEntityNumber>
        <IsMainPartyType>true</IsMainPartyType>
        <CaseDisplayIdentifier>29742-08-23</CaseDisplayIdentifier>
        <CaseTypeID>10001</CaseTypeID>
        <CaseTypeName>ערעור אזרחי (ע"א)</CaseTypeName>
        <CaseName>יעקב נ' היכל</CaseName>
        <FullAddress>גוש העציון 17 תל אביב -יפו </FullAddress>
        <MotionID>0</MotionID>
        <CasePleaID>0</CasePleaID>
        <BirthDate>1932-01-01T00:00:00+02:00</BirthDate>
        <FatherName>ציון</FatherName>
        <LinkedCaseID>0</LinkedCaseID>
        <PartyID>1</PartyID>
        <CasePartyCategoryID>2</CasePartyCategoryID>
        <LegalEntityAddressID>85999424</LegalEntityAddressID>
        <PleaTypeID>6</PleaTypeID>
        <GroupPartyAlias>מערערים</GroupPartyAlias>
        <IsConverted>false</IsConverted>
        <LegalEntityRegisteredNameID>10454147</LegalEntityRegisteredNameID>
        <LegalEntityNameID>90875323</LegalEntityNameID>
        <RepresentatedNamesOfAssistant/>
        <LegalEntityTypeID>1</LegalEntityTypeID>
        <IsVerdictExists>false</IsVerdictExists>
        <IsAsirAzir>false</IsAsirAzir>
        <MainAndSecSpec/>
        <IsPublicationProhibited>false</IsPublicationProhibited>
        <PublicationProhibitedFullName>צבי יעקב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גדעון היכל</FullName>
        <FirstName>גדעון</FirstName>
        <LastName>היכל</LastName>
        <PartyPropertyName/>
        <AuthenticationTypeAndNumber>ת"ז </AuthenticationTypeAndNumber>
        <RepresentatedOrRepresentativesNames>גדעון היכל</RepresentatedOrRepresentativesNames>
        <RepresentatedOrRepresentativesCount>1</RepresentatedOrRepresentativesCount>
        <InvitedBy/>
        <CaseID>80514811</CaseID>
        <CaseJudicialPersonPresentationDS>
          <CaseJudicalPersonActive>
            <CaseID>80514811</CaseID>
            <JudicialPersonID>012356945@GOV.IL</JudicialPersonID>
            <JudicialPersonTypeID>1</JudicialPersonTypeID>
            <JudicialTypeID>3</JudicialTypeID>
            <IsChairman>true</IsChairman>
            <TreatmentStartDate>2024-06-27T09:05:55.933+03:00</TreatmentStartDate>
            <TreatmentFinishDate>9999-12-31T23:59:59.997+02:00</TreatmentFinishDate>
            <IdentificationCardNumber>012356945</IdentificationCardNumber>
            <DisplayName>יונה אטדגי</DisplayName>
            <JudicialTypeName>הרכב שופטים</JudicialTypeName>
            <CaseJudicialGroupNumber>584863</CaseJudicialGroupNumber>
            <FirstName>יונה</FirstName>
            <LastName>אטדגי</LastName>
            <JudicialPersonTitle>שופט</JudicialPersonTitle>
          </CaseJudicalPersonActive>
          <CaseJudicalPersonActive>
            <CaseID>80514811</CaseID>
            <JudicialPersonID>059216838@GOV.IL</JudicialPersonID>
            <JudicialPersonTypeID>1</JudicialPersonTypeID>
            <JudicialTypeID>3</JudicialTypeID>
            <IsChairman>false</IsChairman>
            <TreatmentStartDate>2024-06-27T09:05:55.933+03:00</TreatmentStartDate>
            <TreatmentFinishDate>9999-12-31T23:59:59.997+02:00</TreatmentFinishDate>
            <IdentificationCardNumber>059216838</IdentificationCardNumber>
            <DisplayName>עידית ברקוביץ</DisplayName>
            <JudicialTypeName>הרכב שופטים</JudicialTypeName>
            <CaseJudicialGroupNumber>584863</CaseJudicialGroupNumber>
            <FirstName>עידית</FirstName>
            <LastName>ברקוביץ</LastName>
            <JudicialPersonTitle>שופט</JudicialPersonTitle>
          </CaseJudicalPersonActive>
          <CaseJudicalPersonActive>
            <CaseID>80514811</CaseID>
            <JudicialPersonID>033159567@GOV.IL</JudicialPersonID>
            <JudicialPersonTypeID>1</JudicialPersonTypeID>
            <JudicialTypeID>3</JudicialTypeID>
            <IsChairman>false</IsChairman>
            <TreatmentStartDate>2024-06-27T09:05:55.933+03:00</TreatmentStartDate>
            <TreatmentFinishDate>9999-12-31T23:59:59.997+02:00</TreatmentFinishDate>
            <IdentificationCardNumber>033159567</IdentificationCardNumber>
            <DisplayName>טל לוי-מיכאלי</DisplayName>
            <JudicialTypeName>הרכב שופטים</JudicialTypeName>
            <CaseJudicialGroupNumber>584863</CaseJudicialGroupNumber>
            <FirstName>טל</FirstName>
            <LastName>לוי-מיכאלי</LastName>
            <JudicialPersonTitle>שופט</JudicialPersonTitle>
          </CaseJudicalPersonActive>
        </CaseJudicialPersonPresentationDS>
        <CasePartyID>259434634</CasePartyID>
        <PartyTypeID>1</PartyTypeID>
        <ActivityStatusID>1</ActivityStatusID>
        <PartyAliasID>4</PartyAliasID>
        <PartyAliasName>משיב</PartyAliasName>
        <OrdinalNumber>1</OrdinalNumber>
        <LegalEntityID>79530346</LegalEntityID>
        <CaseLegalEntityID>125549826</CaseLegalEntityID>
        <AuthenticationTypeID>1</AuthenticationTypeID>
        <AuthenticationTypeName>ת"ז</AuthenticationTypeName>
        <IsMainPartyType>true</IsMainPartyType>
        <CaseDisplayIdentifier>29742-08-23</CaseDisplayIdentifier>
        <CaseTypeID>10001</CaseTypeID>
        <CaseTypeName>ערעור אזרחי (ע"א)</CaseTypeName>
        <CaseName>יעקב נ' היכל</CaseName>
        <FullAddress>אבן גבירול 76 תל אביב -יפו </FullAddress>
        <MotionID>0</MotionID>
        <CasePleaID>0</CasePleaID>
        <LinkedCaseID>0</LinkedCaseID>
        <PartyID>2</PartyID>
        <CasePartyCategoryID>2</CasePartyCategoryID>
        <LegalEntityAddressID>88289322</LegalEntityAddressID>
        <PleaTypeID>6</PleaTypeID>
        <GroupPartyAlias>משיבים</GroupPartyAlias>
        <IsConverted>false</IsConverted>
        <LegalEntityNameID>90875324</LegalEntityNameID>
        <RepresentatedNamesOfAssistant/>
        <LegalEntityTypeID>1</LegalEntityTypeID>
        <IsVerdictExists>false</IsVerdictExists>
        <IsAsirAzir>false</IsAsirAzir>
        <MainAndSecSpec/>
        <IsPublicationProhibited>false</IsPublicationProhibited>
        <PublicationProhibitedFullName>גדעון היכל</PublicationProhibitedFullName>
      </CaseParties>
    </CasePartiesSelectionDS>
    <CaseName>יעקב נ' היכל</CaseName>
    <CaseDisplayIdentifier>29742-08-23</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059216838@GOV.IL</JudgeID>
    <DisplayName>ברקוביץ</DisplayName>
    <RoleName>שופט</RoleName>
    <UserTitleName>שופטת</UserTitleName>
  </dt_DecisionJudgePanel>
  <dt_DecisionJudgePanel>
    <JudgeID>033159567@GOV.IL</JudgeID>
    <DisplayName>לוי-מיכאלי</DisplayName>
    <RoleName>שופט</RoleName>
    <UserTitleName>שופטת</UserTitleName>
  </dt_DecisionJudgePanel>
  <dt_LegalEntityDetails>
    <Fax>077-5558070</Fax>
    <Phone>03-5243987</Phone>
    <AddressDesc/>
    <PartyID>2</PartyID>
    <PartyTypeID>2</PartyTypeID>
    <DecisionID>0</DecisionID>
    <StreetName>אבן גבירול 76</StreetName>
    <CityName>תל אביב -יפו</CityName>
    <FullName>גדעון היכל</FullName>
    <Email>info@advocate.name</Email>
    <IsPublicationProhibited>false</IsPublicationProhibited>
  </dt_LegalEntityDetails>
  <dt_LegalEntityDetails>
    <PartyID>1</PartyID>
    <PartyTypeID>1</PartyTypeID>
    <DecisionID>0</DecisionID>
    <StreetName>גוש העציון 17</StreetName>
    <CityName>תל אביב -יפו</CityName>
    <FullName>צבי יעקב</FullName>
    <IsPublicationProhibited>false</IsPublicationProhibited>
  </dt_LegalEntityDetails>
  <dt_LegalEntityDetails>
    <Fax>077-5558070</Fax>
    <Phone>03-5243987</Phone>
    <PartyID>2</PartyID>
    <PartyTypeID>1</PartyTypeID>
    <DecisionID>0</DecisionID>
    <StreetName>אבן גבירול 76</StreetName>
    <ZipCode>6439100</ZipCode>
    <CityName>תל אביב -יפו</CityName>
    <FullName>גדעון היכל</FullName>
    <IsPublicationProhibited>false</IsPublicationProhibited>
  </dt_LegalEntityDetails>
  <dt_LegalEntityDetails>
    <Fax>077-3451317</Fax>
    <Phone>03-5747890</Phone>
    <AddressDesc>קומה 56דירה 1</AddressDesc>
    <PartyID>1</PartyID>
    <PartyTypeID>2</PartyTypeID>
    <DecisionID>0</DecisionID>
    <StreetName>ז'בוטינסקי 7</StreetName>
    <ZipCode>52520</ZipCode>
    <CityName>רמת גן</CityName>
    <FullName>יוגב חלפון</FullName>
    <Email>yogev-h@bezeqint.net</Email>
    <IsPublicationProhibited>false</IsPublicationProhibited>
  </dt_LegalEntityDetails>
  <dt_CaseJudicalPersonActive>
    <CaseJudicalPerson>שופט יונה אטדגי, שופטת עידית ברקוביץ, שופטת טל לוי-מיכאלי</CaseJudicalPerson>
  </dt_CaseJudicalPersonActive>
  <dt_Sitting>
    <PreviousMeetingDate>2024-09-09T10:20:00+03:00</PreviousMeetingDate>
    <PreviousSittingTypeID>5</PreviousSittingTypeID>
    <PreviousMeetingDisplayName>יונה אטדגי, עידית ברקוביץ, טל לוי-מיכאלי</PreviousMeetingDisplayName>
    <PreviousMeetingUserUPN>012356945@GOV.IL, 033159567@GOV.IL, 059216838@GOV.IL</PreviousMeetingUserUPN>
  </dt_Sitting>
</DecisionTemplateDS>
</file>

<file path=customXml/itemProps1.xml><?xml version="1.0" encoding="utf-8"?>
<ds:datastoreItem xmlns:ds="http://schemas.openxmlformats.org/officeDocument/2006/customXml" ds:itemID="{37C0B714-7ED5-4CBA-BF07-9F5468766F6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1110</Words>
  <Characters>5555</Characters>
  <Application>Microsoft Office Word</Application>
  <DocSecurity>4</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2024-09-16T07:30:00Z</dcterms:created>
  <dcterms:modified xsi:type="dcterms:W3CDTF">2024-09-16T07:30:00Z</dcterms:modified>
</cp:coreProperties>
</file>